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7B8"/>
          <w:sz w:val="40"/>
          <w:szCs w:val="40"/>
        </w:rPr>
        <w:t xml:space="preserve">Utility Meter Field Verification</w:t>
      </w:r>
    </w:p>
    <w:p>
      <w:pPr>
        <w:spacing w:after="220"/>
        <w:jc w:val="center"/>
      </w:pPr>
      <w:r>
        <w:rPr>
          <w:b/>
          <w:bCs/>
          <w:color w:val="1F2937"/>
          <w:sz w:val="30"/>
          <w:szCs w:val="30"/>
        </w:rPr>
        <w:t xml:space="preserve">Functional and Non-Functional Requirements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Document owner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Version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Date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Status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Michael Yaacoub, Sr Solution Engineer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1.0</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2026-08-24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Draft</w:t>
            </w:r>
          </w:p>
        </w:tc>
      </w:tr>
    </w:tbl>
    <w:p>
      <w:pPr>
        <w:spacing w:after="120"/>
      </w:pPr>
      <w:r>
        <w:t xml:space="preserve"/>
      </w:r>
    </w:p>
    <w:p>
      <w:pPr>
        <w:spacing w:after="120"/>
      </w:pPr>
      <w:r>
        <w:t xml:space="preserve">This template follows the sample requirements structure: purpose and scope, Epic, Features and User Stories, non-functional requirements, traceability, and assumptions.</w:t>
      </w:r>
    </w:p>
    <w:p>
      <w:pPr>
        <w:pStyle w:val="Heading1"/>
        <w:spacing w:after="100" w:before="280"/>
      </w:pPr>
      <w:r>
        <w:t xml:space="preserve">1. Purpose and Scope</w:t>
      </w:r>
    </w:p>
    <w:p>
      <w:pPr>
        <w:pStyle w:val="Heading2"/>
        <w:spacing w:after="100" w:before="160"/>
      </w:pPr>
      <w:r>
        <w:t xml:space="preserve">1.1 Business Problem and Outcome</w:t>
      </w:r>
    </w:p>
    <w:p>
      <w:pPr>
        <w:spacing w:after="120"/>
      </w:pPr>
      <w:r>
        <w:rPr>
          <w:i/>
          <w:iCs/>
          <w:color w:val="5B6470"/>
        </w:rPr>
        <w:t xml:space="preserve">When a customer disputes a bill or consumption looks implausible, a technician is sent to verify the meter with a printed work card and a clipboard. Readings and seal numbers are written down and keyed in days later, tamper evidence is described in prose rather than photographed, and the billing adjustment that should follow is raised by email to the revenue team. Regulators ask for the verification evidence behind an adjustment and it takes a week to assemble. The outcome this release targets is a guided verification captured at the meter, tamper evidence recorded to an evidential standard, and a billing adjustment raised from the verification record with the approval trail attached.</w:t>
      </w:r>
    </w:p>
    <w:p>
      <w:pPr>
        <w:pStyle w:val="Heading2"/>
        <w:spacing w:after="100" w:before="160"/>
      </w:pPr>
      <w:r>
        <w:t xml:space="preserve">1.2 In Scope</w:t>
      </w:r>
    </w:p>
    <w:p>
      <w:pPr>
        <w:pStyle w:val="ListParagraph"/>
        <w:numPr>
          <w:ilvl w:val="0"/>
          <w:numId w:val="1"/>
        </w:numPr>
        <w:spacing w:after="80"/>
      </w:pPr>
      <w:r>
        <w:t xml:space="preserve">Verification job dispatch to field technicians, ranked by dispute age and estimated revenue at risk</w:t>
      </w:r>
    </w:p>
    <w:p>
      <w:pPr>
        <w:pStyle w:val="ListParagraph"/>
        <w:numPr>
          <w:ilvl w:val="0"/>
          <w:numId w:val="1"/>
        </w:numPr>
        <w:spacing w:after="80"/>
      </w:pPr>
      <w:r>
        <w:t xml:space="preserve">Guided meter verification: register readings, seal checks, installation condition and photographic evidence</w:t>
      </w:r>
    </w:p>
    <w:p>
      <w:pPr>
        <w:pStyle w:val="ListParagraph"/>
        <w:numPr>
          <w:ilvl w:val="0"/>
          <w:numId w:val="1"/>
        </w:numPr>
        <w:spacing w:after="80"/>
      </w:pPr>
      <w:r>
        <w:t xml:space="preserve">Tamper detection recording to an evidential standard, with chain-of-custody for removed equipment</w:t>
      </w:r>
    </w:p>
    <w:p>
      <w:pPr>
        <w:pStyle w:val="ListParagraph"/>
        <w:numPr>
          <w:ilvl w:val="0"/>
          <w:numId w:val="1"/>
        </w:numPr>
        <w:spacing w:after="80"/>
      </w:pPr>
      <w:r>
        <w:t xml:space="preserve">Billing adjustment proposal from the verification record, with revenue team approval and segregation of duties</w:t>
      </w:r>
    </w:p>
    <w:p>
      <w:pPr>
        <w:pStyle w:val="ListParagraph"/>
        <w:numPr>
          <w:ilvl w:val="0"/>
          <w:numId w:val="1"/>
        </w:numPr>
        <w:spacing w:after="80"/>
      </w:pPr>
      <w:r>
        <w:t xml:space="preserve">Offline capture at the meter, including basements and rural sites, with synchronisation on reconnection</w:t>
      </w:r>
    </w:p>
    <w:p>
      <w:pPr>
        <w:pStyle w:val="Heading2"/>
        <w:spacing w:after="100" w:before="160"/>
      </w:pPr>
      <w:r>
        <w:t xml:space="preserve">1.3 Out of Scope</w:t>
      </w:r>
    </w:p>
    <w:p>
      <w:pPr>
        <w:pStyle w:val="ListParagraph"/>
        <w:numPr>
          <w:ilvl w:val="0"/>
          <w:numId w:val="1"/>
        </w:numPr>
        <w:spacing w:after="80"/>
      </w:pPr>
      <w:r>
        <w:t xml:space="preserve">Meter installation, replacement and commissioning work orders</w:t>
      </w:r>
    </w:p>
    <w:p>
      <w:pPr>
        <w:pStyle w:val="ListParagraph"/>
        <w:numPr>
          <w:ilvl w:val="0"/>
          <w:numId w:val="1"/>
        </w:numPr>
        <w:spacing w:after="80"/>
      </w:pPr>
      <w:r>
        <w:t xml:space="preserve">Bill calculation, issue and customer payment collection</w:t>
      </w:r>
    </w:p>
    <w:p>
      <w:pPr>
        <w:pStyle w:val="ListParagraph"/>
        <w:numPr>
          <w:ilvl w:val="0"/>
          <w:numId w:val="1"/>
        </w:numPr>
        <w:spacing w:after="80"/>
      </w:pPr>
      <w:r>
        <w:t xml:space="preserve">Smart meter head-end configuration and firmware management</w:t>
      </w:r>
    </w:p>
    <w:p>
      <w:pPr>
        <w:pStyle w:val="ListParagraph"/>
        <w:numPr>
          <w:ilvl w:val="0"/>
          <w:numId w:val="1"/>
        </w:numPr>
        <w:spacing w:after="80"/>
      </w:pPr>
      <w:r>
        <w:t xml:space="preserve">Debt recovery, disconnection and reconnection processes</w:t>
      </w:r>
    </w:p>
    <w:p>
      <w:pPr>
        <w:pStyle w:val="ListParagraph"/>
        <w:numPr>
          <w:ilvl w:val="0"/>
          <w:numId w:val="1"/>
        </w:numPr>
        <w:spacing w:after="80"/>
      </w:pPr>
      <w:r>
        <w:t xml:space="preserve">New analytics beyond the revenue assurance dashboards already in service</w:t>
      </w:r>
    </w:p>
    <w:p>
      <w:pPr>
        <w:pStyle w:val="Heading2"/>
        <w:spacing w:after="100" w:before="160"/>
      </w:pPr>
      <w:r>
        <w:t xml:space="preserve">1.4 Success Measures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Objective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Metric</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Target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Measurement source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Resolve disputes faster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Median elapsed time from dispute raised to verification completed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Reduce from 14 days to 4 days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Verification job timestamps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Raise adjustments from evidence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Billing adjustments carrying a complete verification record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Raise from 61 percent to 99 percent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Adjustment approval audit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Detect tampering reliably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Tamper cases with evidential-standard photographs and seal records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100 percent of tamper cases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Tamper case review</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Answer the regulator same day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Regulator evidence requests answered within one working day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Raise from 20 percent to 95 percent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Evidence request log</w:t>
            </w:r>
          </w:p>
        </w:tc>
      </w:tr>
    </w:tbl>
    <w:p>
      <w:pPr>
        <w:pStyle w:val="Heading1"/>
        <w:spacing w:after="100" w:before="280"/>
      </w:pPr>
      <w:r>
        <w:t xml:space="preserve">2. Epic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Epic title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Outcome statement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Business owner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EPIC-01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Utility Meter Field Verification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revenue assurance organisation, we need field technicians to verify disputed and suspect meters on a handheld with evidence captured at the point of inspection, so that billing adjustments rest on a complete record and regulator requests are answered from that same record.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Head of Revenue Assurance</w:t>
            </w:r>
          </w:p>
        </w:tc>
      </w:tr>
    </w:tbl>
    <w:p>
      <w:pPr>
        <w:pStyle w:val="Heading1"/>
        <w:spacing w:after="100" w:before="280"/>
      </w:pPr>
      <w:r>
        <w:t xml:space="preserve">3. Features and User Stories</w:t>
      </w:r>
    </w:p>
    <w:p>
      <w:pPr>
        <w:pStyle w:val="Heading2"/>
        <w:spacing w:after="100" w:before="160"/>
      </w:pPr>
      <w:r>
        <w:t xml:space="preserve">3.1 FEAT-01 Verification Job Dispatch</w:t>
      </w:r>
    </w:p>
    <w:p>
      <w:pPr>
        <w:spacing w:after="120"/>
      </w:pPr>
      <w:r>
        <w:rPr>
          <w:i/>
          <w:iCs/>
          <w:color w:val="5B6470"/>
        </w:rPr>
        <w:t xml:space="preserve">Gives the technician a prioritised round of verification jobs ranked by dispute age and revenue at risk, with the customer, site access notes and dispute history on the card.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User story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Acceptance criteria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Priority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US-101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field technician, I want my verification jobs ranked by dispute age and revenue at risk, so that I work the round in the order that resolves the most exposure.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assigned verification jobs, when the round loads, then jobs are sorted by dispute age and then by estimated revenue at risk, and each card shows the address, meter type, dispute summary and access notes. Given a job is reassigned to another technician, when the change is made, then it leaves my round within 30 seconds.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US-102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field technician, I want site access and safety notes on the job before I travel, so that I arrive prepared rather than turning back.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 job with recorded access constraints, when I open it, then access notes, hazard flags and any appointment window are shown before the verification steps. Given a site requires a customer appointment, when no appointment exists, then the job cannot be started and the reason is stated.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Should</w:t>
            </w:r>
          </w:p>
        </w:tc>
      </w:tr>
    </w:tbl>
    <w:p>
      <w:pPr>
        <w:pStyle w:val="Heading2"/>
        <w:spacing w:after="100" w:before="160"/>
      </w:pPr>
      <w:r>
        <w:t xml:space="preserve">3.2 FEAT-02 Guided Meter Verification</w:t>
      </w:r>
    </w:p>
    <w:p>
      <w:pPr>
        <w:spacing w:after="120"/>
      </w:pPr>
      <w:r>
        <w:rPr>
          <w:i/>
          <w:iCs/>
          <w:color w:val="5B6470"/>
        </w:rPr>
        <w:t xml:space="preserve">Presents the verification procedure for the specific meter type, captures register readings, seal numbers and installation condition, and requires photographs at each evidential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User story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Acceptance criteria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Priority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US-201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field technician, I want the verification steps for this meter type presented in order, so that I capture everything the revenue team and the regulator will need.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 scanned or selected meter, when the verification opens, then the steps, registers and seal positions match that meter type, and each evidential step states the photograph it requires. Given a register reading is entered, when it is committed, then it is compared against the last billed reading and an implausible value must be confirmed with a note.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US-202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revenue analyst, I want every reading, seal number and condition recorded against the meter and technician, so that the verification stands on its own without a follow-up call.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 completed verification, when it is submitted, then meter identifier, technician, timestamp, location, every register reading, seal number and condition are recorded and cannot be edited. Given the site has no connectivity, when I submit, then the verification and its photographs queue locally with the capture time preserved and sync within 5 minutes of reconnection.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bl>
    <w:p>
      <w:pPr>
        <w:pStyle w:val="Heading2"/>
        <w:spacing w:after="100" w:before="160"/>
      </w:pPr>
      <w:r>
        <w:t xml:space="preserve">3.3 FEAT-03 Tamper Evidence and Custody</w:t>
      </w:r>
    </w:p>
    <w:p>
      <w:pPr>
        <w:spacing w:after="120"/>
      </w:pPr>
      <w:r>
        <w:rPr>
          <w:i/>
          <w:iCs/>
          <w:color w:val="5B6470"/>
        </w:rPr>
        <w:t xml:space="preserve">Records suspected tampering to a standard that will survive challenge: photographs from required angles, seal numbers before and after, and an unbroken chain of custody for any equipment removed from 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User story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Acceptance criteria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Priority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US-301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field technician, I want the tamper evidence steps enforced, so that a case is not lost later because a photograph was missing.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suspected tampering, when I record it, then photographs from every required angle, the broken and replacement seal numbers and a written description are all mandatory before the case can be submitted. Given any required evidence item is missing, when submission is attempted, then it is blocked and the missing items are named.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US-302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revenue assurance manager, I want an unbroken chain of custody for equipment removed from site, so that the evidence remains admissible.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equipment is removed, when custody is recorded, then each transfer captures the releasing and receiving person, time and location, and the chain is shown as a single sequence. Given a custody gap exists, when the case is reviewed, then the gap is flagged and the case cannot be closed until it is explained.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bl>
    <w:p>
      <w:pPr>
        <w:pStyle w:val="Heading2"/>
        <w:spacing w:after="100" w:before="160"/>
      </w:pPr>
      <w:r>
        <w:t xml:space="preserve">3.4 FEAT-04 Billing Adjustment and Approval</w:t>
      </w:r>
    </w:p>
    <w:p>
      <w:pPr>
        <w:spacing w:after="120"/>
      </w:pPr>
      <w:r>
        <w:rPr>
          <w:i/>
          <w:iCs/>
          <w:color w:val="5B6470"/>
        </w:rPr>
        <w:t xml:space="preserve">Proposes the billing adjustment from the verification record, routes it for revenue team approval under segregation of duties, and writes an immutable record that the regulator evidence pack is generated from.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User story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Acceptance criteria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Priority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US-401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revenue analyst, I want the adjustment calculated from the verification record, so that the customer's bill is corrected from evidence rather than from an estimate.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 completed verification with a reading discrepancy, when an adjustment is proposed, then the affected period, the corrected consumption and the value are calculated from the recorded readings and the tariff. Given the calculation inputs change, when the proposal is reopened, then it recalculates and the previous proposal is retained.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US-402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revenue assurance manager, I want adjustment approval separated from the person who proposed it, so that no adjustment reaches a customer bill without a second review.</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the approver also proposed the adjustment, when approval is attempted, then it is blocked by the segregation-of-duties rule and an alternative approver is offered. Given approval is granted, when the record is written, then it is immutable and the regulator evidence pack can be generated from it without manual assembly.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bl>
    <w:p>
      <w:pPr>
        <w:pStyle w:val="Heading1"/>
        <w:spacing w:after="100" w:before="280"/>
      </w:pPr>
      <w:r>
        <w:t xml:space="preserve">4. Non-Functional Requirements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Category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Requirement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Target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Validation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Performance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The job round and the verification screens render on a field handheld over a mobile network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95th percentile under 2 seconds; photograph capture acknowledged under 1 second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Performance test against the production-shaped dataset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Availability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The verification service is available throughout field working hours, including weekend emergency rounds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99.9 percent monthly, measured 06:00 to 21:00 local, seven days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SLO dashboard and monthly service review</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NFR-003</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Offline / resilience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 technician can complete a full verification, including tamper evidence, in a basement or a rural site with no signal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Full offline capture for a 10-hour round, sync within 5 minutes of reconnection, recovery point objective 0 for captured evidence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Chaos and disconnected-device test suite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Security and privacy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Access requires Entra ID single sign-on from a managed device, and customer personal data is limited to what the verification requires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No customer payment or debt data on the device; personal data excluded from logs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Security review and penetration test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NFR-005</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Accessibility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Every screen is operable one-handed, in a dark meter cupboard, with gloves, and in bright sunlight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WCAG 2.2 AA, verified in low and high ambient light on the target handheld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Automated axe scan plus manual screen-reader audit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NFR-006</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Auditability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Every reading, seal number, evidence item, custody transfer and approval records actor, action, timestamp, location and correlation identifier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100 percent captured, retained for 7 years to match the regulatory evidence period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Audit evidence pack sampled each release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NFR-007</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Integration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Meter master, billing and tariff integrations declare timeouts, retries, idempotency and a defined failure behaviour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No adjustment posted twice; proposals fail closed rather than calculate on stale tariff data</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Contract tests in the integration pipeline</w:t>
            </w:r>
          </w:p>
        </w:tc>
      </w:tr>
    </w:tbl>
    <w:p>
      <w:pPr>
        <w:pStyle w:val="Heading1"/>
        <w:spacing w:after="100" w:before="280"/>
      </w:pPr>
      <w:r>
        <w:t xml:space="preserve">5. Traceability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Feature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User stories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Screen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Test cases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Primary outcome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FEAT-01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US-101, US-102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SCR-01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TC-101, TC-102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Technicians work the round in the order that resolves the most revenue exposure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FEAT-02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US-201, US-202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SCR-02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TC-201, TC-202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Verifications are complete and self-contained at the point of inspection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FEAT-03</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US-301, US-302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SCR-03</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TC-301, TC-302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Tamper cases survive challenge because the evidence and custody are intact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FEAT-04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US-401, US-402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SCR-04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TC-401, TC-402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Adjustments rest on evidence, carry a second approval, and answer the regulator directly</w:t>
            </w:r>
          </w:p>
        </w:tc>
      </w:tr>
    </w:tbl>
    <w:p>
      <w:pPr>
        <w:pStyle w:val="Heading1"/>
        <w:spacing w:after="100" w:before="280"/>
      </w:pPr>
      <w:r>
        <w:t xml:space="preserve">6. Assumptions and Out of Scope</w:t>
      </w:r>
    </w:p>
    <w:p>
      <w:pPr>
        <w:pStyle w:val="Heading2"/>
        <w:spacing w:after="100" w:before="160"/>
      </w:pPr>
      <w:r>
        <w:t xml:space="preserve">6.1 Assumptions and Dependencies</w:t>
      </w:r>
    </w:p>
    <w:p>
      <w:pPr>
        <w:pStyle w:val="ListParagraph"/>
        <w:numPr>
          <w:ilvl w:val="0"/>
          <w:numId w:val="1"/>
        </w:numPr>
        <w:spacing w:after="80"/>
      </w:pPr>
      <w:r>
        <w:t xml:space="preserve">Meter master data, customer account references, tariffs and billing history exist in the metering and billing systems and are exposed through the integration layer.</w:t>
      </w:r>
    </w:p>
    <w:p>
      <w:pPr>
        <w:pStyle w:val="ListParagraph"/>
        <w:numPr>
          <w:ilvl w:val="0"/>
          <w:numId w:val="1"/>
        </w:numPr>
        <w:spacing w:after="80"/>
      </w:pPr>
      <w:r>
        <w:t xml:space="preserve">Dispute cases are raised in the customer service system and dispatched to this application as jobs.</w:t>
      </w:r>
    </w:p>
    <w:p>
      <w:pPr>
        <w:pStyle w:val="ListParagraph"/>
        <w:numPr>
          <w:ilvl w:val="0"/>
          <w:numId w:val="1"/>
        </w:numPr>
        <w:spacing w:after="80"/>
      </w:pPr>
      <w:r>
        <w:t xml:space="preserve">Technicians carry corporate-managed handhelds with a camera, enrolled in Intune.</w:t>
      </w:r>
    </w:p>
    <w:p>
      <w:pPr>
        <w:pStyle w:val="ListParagraph"/>
        <w:numPr>
          <w:ilvl w:val="0"/>
          <w:numId w:val="1"/>
        </w:numPr>
        <w:spacing w:after="80"/>
      </w:pPr>
      <w:r>
        <w:t xml:space="preserve">Seal stock and its numbering are controlled by the field operations team and read here.</w:t>
      </w:r>
    </w:p>
    <w:p>
      <w:pPr>
        <w:pStyle w:val="ListParagraph"/>
        <w:numPr>
          <w:ilvl w:val="0"/>
          <w:numId w:val="1"/>
        </w:numPr>
        <w:spacing w:after="80"/>
      </w:pPr>
      <w:r>
        <w:t xml:space="preserve">Mobile coverage is intermittent at meter locations, particularly in basements and rural areas.</w:t>
      </w:r>
    </w:p>
    <w:p>
      <w:pPr>
        <w:pStyle w:val="Heading2"/>
        <w:spacing w:after="100" w:before="160"/>
      </w:pPr>
      <w:r>
        <w:t xml:space="preserve">6.2 Constraints and Exclusions</w:t>
      </w:r>
    </w:p>
    <w:p>
      <w:pPr>
        <w:pStyle w:val="ListParagraph"/>
        <w:numPr>
          <w:ilvl w:val="0"/>
          <w:numId w:val="1"/>
        </w:numPr>
        <w:spacing w:after="80"/>
      </w:pPr>
      <w:r>
        <w:t xml:space="preserve">Verification records and tamper evidence are immutable once submitted, because they support regulatory and potentially legal proceedings.</w:t>
      </w:r>
    </w:p>
    <w:p>
      <w:pPr>
        <w:pStyle w:val="ListParagraph"/>
        <w:numPr>
          <w:ilvl w:val="0"/>
          <w:numId w:val="1"/>
        </w:numPr>
        <w:spacing w:after="80"/>
      </w:pPr>
      <w:r>
        <w:t xml:space="preserve">The person proposing a billing adjustment may not approve it, under the revenue assurance control standard.</w:t>
      </w:r>
    </w:p>
    <w:p>
      <w:pPr>
        <w:pStyle w:val="ListParagraph"/>
        <w:numPr>
          <w:ilvl w:val="0"/>
          <w:numId w:val="1"/>
        </w:numPr>
        <w:spacing w:after="80"/>
      </w:pPr>
      <w:r>
        <w:t xml:space="preserve">Customer payment and debt information may not be held on or displayed by the field device.</w:t>
      </w:r>
    </w:p>
    <w:p>
      <w:pPr>
        <w:pStyle w:val="ListParagraph"/>
        <w:numPr>
          <w:ilvl w:val="0"/>
          <w:numId w:val="1"/>
        </w:numPr>
        <w:spacing w:after="80"/>
      </w:pPr>
      <w:r>
        <w:t xml:space="preserve">Photographic evidence for tamper cases must meet the required angles defined by the evidence standard, which is configuration rather than code.</w:t>
      </w:r>
    </w:p>
    <w:p>
      <w:pPr>
        <w:pStyle w:val="Heading1"/>
        <w:spacing w:after="100" w:before="280"/>
      </w:pPr>
      <w:r>
        <w:t xml:space="preserve">7. Approval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Reviewer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Role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Decision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Comments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Date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Chris Santaniello</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Director, Solution Engineering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Business sponsor review</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Product owner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Business product owner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Scope, stories and acceptance criteria</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Delivery lead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Engineering delivery lead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Feasibility and estimate confirmation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Case}</dc:title>
  <dc:creator>Agentic SDLC</dc:creator>
  <dc:description>Reusable Agentic SDLC project-intake template</dc:description>
  <cp:lastModifiedBy>Un-named</cp:lastModifiedBy>
  <cp:revision>1</cp:revision>
  <dcterms:created xsi:type="dcterms:W3CDTF">2026-08-24T15:44:50.573Z</dcterms:created>
  <dcterms:modified xsi:type="dcterms:W3CDTF">2026-08-24T15:44:50.574Z</dcterms:modified>
</cp:coreProperties>
</file>

<file path=docProps/custom.xml><?xml version="1.0" encoding="utf-8"?>
<Properties xmlns="http://schemas.openxmlformats.org/officeDocument/2006/custom-properties" xmlns:vt="http://schemas.openxmlformats.org/officeDocument/2006/docPropsVTypes"/>
</file>