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067B8"/>
          <w:sz w:val="40"/>
          <w:szCs w:val="40"/>
        </w:rPr>
        <w:t xml:space="preserve">Utility Meter Field Verification</w:t>
      </w:r>
    </w:p>
    <w:p>
      <w:pPr>
        <w:spacing w:after="220"/>
        <w:jc w:val="center"/>
      </w:pPr>
      <w:r>
        <w:rPr>
          <w:b/>
          <w:bCs/>
          <w:color w:val="1F2937"/>
          <w:sz w:val="30"/>
          <w:szCs w:val="30"/>
        </w:rPr>
        <w:t xml:space="preserve">Technical Requirements and Architecture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Document owner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Version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Date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Status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Michael Yaacoub, Sr Solution Engineer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1.0</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2026-08-24</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Draft</w:t>
            </w:r>
          </w:p>
        </w:tc>
      </w:tr>
    </w:tbl>
    <w:p>
      <w:pPr>
        <w:spacing w:after="120"/>
      </w:pPr>
      <w:r>
        <w:t xml:space="preserve"/>
      </w:r>
    </w:p>
    <w:p>
      <w:pPr>
        <w:spacing w:after="120"/>
      </w:pPr>
      <w:r>
        <w:t xml:space="preserve">Use this document to confirm the approved stack, component boundaries, integrations, quality targets, and delivery requirements before code generation.</w:t>
      </w:r>
    </w:p>
    <w:p>
      <w:pPr>
        <w:pStyle w:val="Heading1"/>
        <w:spacing w:after="100" w:before="280"/>
      </w:pPr>
      <w:r>
        <w:t xml:space="preserve">1. Purpose, Context, and Constraints</w:t>
      </w:r>
    </w:p>
    <w:p>
      <w:pPr>
        <w:spacing w:after="120"/>
      </w:pPr>
      <w:r>
        <w:rPr>
          <w:i/>
          <w:iCs/>
          <w:color w:val="5B6470"/>
        </w:rPr>
        <w:t xml:space="preserve">A field verification application for utility technicians with a revenue analyst web view, built as an Ionic and Angular client over a Python FastAPI service layer on Azure App Service. The metering system remains the system of record for meters and the billing system for accounts and tariffs; this solution owns the verification, tamper case and adjustment proposal record. The dominant constraints are evidential integrity, an unbroken chain of custody, segregation of duties on adjustment approval, and reliable operation with no signal. A Foundry agent workflow compares captured readings against consumption history and drafts the discrepancy narrative for analyst review, with every model call routed through Azure API Management.</w:t>
      </w:r>
    </w:p>
    <w:p>
      <w:pPr>
        <w:pStyle w:val="Heading1"/>
        <w:spacing w:after="100" w:before="280"/>
      </w:pPr>
      <w:r>
        <w:t xml:space="preserve">2. Default Technology Stack</w:t>
      </w:r>
    </w:p>
    <w:p>
      <w:pPr>
        <w:spacing w:after="120"/>
      </w:pPr>
      <w:r>
        <w:t xml:space="preserve">Confirm each default or replace it with an approved alternative.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Tier / capability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Default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Project decision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Rationale / constraints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Front End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Angular 18, TypeScript, Ionic 8</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Use default: Angular 18, TypeScript, Ionic 8</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One codebase for the field handheld and the revenue analyst browser, with camera and geolocation access and a service worker backing offline evidence capture.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APIs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Python 3.12, FastAPI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Use default: Python 3.12, FastAPI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Platform standard; typed models make the evidence completeness rules explicit at the API boundary.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Database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SQL Database (SQL Server) or Azure Cosmos DB</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SQL Database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Verifications, readings, evidence items, custody transfers and adjustments are relational, and approval must commit several tables in one transaction under strong consistency.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Agent framework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Foundry with Microsoft Agent Framework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Foundry project with a consumption-analysis agent; workflow pauses for revenue analyst review before any discrepancy narrative is attached to a proposal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An adjustment affects a customer's bill, so the analyst always confirms the reasoning.</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AI gateway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API Management (APIM)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Single APIM route for all model traffic, managed-identity authentication, per-user quotas, content safety and correlation headers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One enforcement point, and one place to prove customer identifiers never reach a prompt.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Identity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Entra ID; OTP where approved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Entra ID with conditional access requiring an Intune-compliant device; adjustment approval rights held in a dedicated Entra group</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Segregation of duties is enforced by group membership evaluated server side on every approval.</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Optional storage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Storage Account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Required: Blob storage for evidence photographs and generated regulator packs, immutable once the verification is submitted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Evidence must be retained for 7 years and provably unaltered.</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Hosting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App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App Service, Premium v3, primary region with zone redundancy and a paired-region warm standby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Field-hours availability seven days a week with a predictable morning dispatch peak.</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CI/CD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GitHub Actions or Azure Pipelines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GitHub Actions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Platform standard with build provenance and environment protection in place.</w:t>
            </w:r>
          </w:p>
        </w:tc>
      </w:tr>
    </w:tbl>
    <w:p>
      <w:pPr>
        <w:pStyle w:val="Heading1"/>
        <w:spacing w:after="100" w:before="280"/>
      </w:pPr>
      <w:r>
        <w:t xml:space="preserve">3. Architecture and Components</w:t>
      </w:r>
    </w:p>
    <w:p>
      <w:pPr>
        <w:spacing w:after="120"/>
      </w:pPr>
      <w:r>
        <w:rPr>
          <w:b/>
          <w:bCs/>
          <w:color w:val="0067B8"/>
        </w:rPr>
        <w:t xml:space="preserve">Context diagram: technicians on field handhelds and analysts on browsers reach the Ionic client, which calls the FastAPI verification service on App Service; the service reads meter master from the metering system and account and tariff data from billing, stores verifications, custody and adjustments in Azure SQL with evidence in Blob storage, posts approved adjustments to billing, and routes agent traffic through APIM to Foundry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Component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Responsibility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Interfaces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Runtime / hosting</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Owner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Technician field client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Renders the round, guided verification, tamper evidence and custody capture, and owns offline evidence storage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technician interaction. Outbound: verification API, camera, geolocation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Ionic 8 and Angular 18 on Android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Field Systems team</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Verification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Owns verification state, evidence completeness rules, custody chain, adjustment proposals and segregation of duties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field client, analyst web. Outbound: metering, billing, Azure SQL, Blob storage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Python 3.12 FastAPI on Azure App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Field Systems team</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Adjustment calculator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Computes the corrected consumption and value from recorded readings and the applicable tariff</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verification service. Outbound: billing tariff 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Python 3.12 on Azure Functions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Revenue Systems team</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Evidence pack generator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Assembles the regulator evidence pack from the immutable record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verification service. Outbound: Blob storage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Python 3.12 on Azure Functions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Revenue Systems team</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Consumption analysis workflow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Compares captured readings against history and drafts the discrepancy narrative for analyst review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verification service. Outbound: APIM to Foundry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Foundry with the Microsoft Agent Framework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AI Engineering team</w:t>
            </w:r>
          </w:p>
        </w:tc>
      </w:tr>
    </w:tbl>
    <w:p>
      <w:pPr>
        <w:pStyle w:val="Heading1"/>
        <w:spacing w:after="100" w:before="280"/>
      </w:pPr>
      <w:r>
        <w:t xml:space="preserve">4. API and Integration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API / system</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Consumer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Protocol</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Authentication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SLA / timeout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Failure behavior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Metering master data 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Verification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REST over HTTPS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 identity with OAuth 2.0 client credentials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2 second timeout, 99.5 percent availability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Three retries with backoff; on exhaustion serve the cached meter record marked stale, and block tamper case submission rather than record against uncertain meter identity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Billing account and tariff 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Adjustment calculator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REST over HTTPS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 identity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3 second timeout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Two retries; on exhaustion the proposal fails closed with the reason stated, because calculating on a stale tariff would misstate a customer's bill</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Billing adjustment posting 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Verification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REST over HTTPS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 identity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5 second timeout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Idempotency key per adjustment; unresolved postings queue for replay and alert the revenue manager after 15 minutes, with the adjustment held as approved and not posted</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Foundry model deployments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Consumption analysis workflow through APIM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REST over HTTPS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 identity at the gateway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10 second timeout, per-user quota</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Fail closed: the analyst writes the narrative with no draft; the calculated figures are unaffected</w:t>
            </w:r>
          </w:p>
        </w:tc>
      </w:tr>
    </w:tbl>
    <w:p>
      <w:pPr>
        <w:pStyle w:val="Heading1"/>
        <w:spacing w:after="100" w:before="280"/>
      </w:pPr>
      <w:r>
        <w:t xml:space="preserve">5. Data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Store / entity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Purpose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Model</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Source of truth</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Classification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Retention / recovery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Verification record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Readings, seal numbers, condition, evidence references and location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Relational, append-only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This application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regulatory evidence with personal data</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7 years; RPO 15 minutes, RTO 4 hours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Tamper case and custody chain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Evidence items and every custody transfer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Relational, append-only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This application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potentially evidential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7 years, write-once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Adjustment proposal and approval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Affected period, corrected consumption, value, approver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Relational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This application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financial record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7 years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Evidence media and packs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Photographs and generated regulator evidence packs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Blob</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This application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regulatory evidence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7 years under an immutability policy</w:t>
            </w:r>
          </w:p>
        </w:tc>
      </w:tr>
    </w:tbl>
    <w:p>
      <w:pPr>
        <w:pStyle w:val="Heading1"/>
        <w:spacing w:after="100" w:before="280"/>
      </w:pPr>
      <w:r>
        <w:t xml:space="preserve">6. Foundry, Microsoft Agent Framework, and APIM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Area</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Requirement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Model execution boundary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All model calls route through the configured APIM gateway.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Workflow ownership</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Agent Framework owns topology and human-in-the-loop pause/resume behavior.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Agent configuration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One agent in a single Foundry project: consumption-analysis, which compares captured register readings against the site's consumption history and seasonal profile and drafts a plain-language discrepancy narrative. Standard reasoning deployment, 3,000 token ceiling, tools limited to the read-only consumption history for the meter under verification. The workflow pauses for revenue analyst review, and the accepted or rejected draft is recorded against the proposal.</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APIM policies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Managed-identity authentication at the gateway, 40 calls per user per hour, two retries on transient failures, content safety on prompt and completion, request and response logging with customer identifiers redacted, and a correlation header propagated end to end.</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Guardrails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Prompts carry meter identifier, readings and consumption series only. Customer name, address, account number and any payment or debt information are stripped before the call. The agent may not calculate an adjustment value, may not approve or post an adjustment, may not assert that tampering occurred, and may not characterise a customer's intent.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Observability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Every call emits prompt identifier, agent identifier, model deployment, token counts, project, calling user, review outcome, workflow run identifier and correlation identifier to Application Insights, retained 90 days, with a monthly review of redaction effectiveness.</w:t>
            </w:r>
          </w:p>
        </w:tc>
      </w:tr>
    </w:tbl>
    <w:p>
      <w:pPr>
        <w:pStyle w:val="Heading1"/>
        <w:spacing w:after="100" w:before="280"/>
      </w:pPr>
      <w:r>
        <w:t xml:space="preserve">7. Security and Privacy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Control area</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Requirement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Validation evidence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Identity and access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Role-based access with least privilege: field technician, revenue analyst, revenue assurance manager, evidence custodian and auditor; adjustment approval rights held in a dedicated Entra group and the proposer excluded server side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Quarterly access recertification and a segregation-of-duties test in every release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Secrets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All secrets in Azure Key Vault referenced by managed identity; no secret values in source control or pipeline variables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Secret scanning on every pull request and a Key Vault reference audit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Network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Private endpoints for Azure SQL, Blob storage and APIM; App Service reachable only through Front Door with a web application firewall; egress restricted to declared destinations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Network validation test and firewall rule review each release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Data protection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TLS 1.2 or higher in transit and service-managed keys at rest; customer personal data minimised on the device, payment and debt data never synchronised to it, evidence classified and held within the regulatory residency boundary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Privacy impact assessment and a device data inventory review</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Application security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Input validation on every endpoint, dependency and container scanning, a threat model covering evidence tampering and custody gaps, and annual penetration testing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Pipeline scan results and the signed penetration test report</w:t>
            </w:r>
          </w:p>
        </w:tc>
      </w:tr>
    </w:tbl>
    <w:p>
      <w:pPr>
        <w:pStyle w:val="Heading1"/>
        <w:spacing w:after="100" w:before="280"/>
      </w:pPr>
      <w:r>
        <w:t xml:space="preserve">8. Non-Functional Technical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Category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Target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Measurement / gate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Availability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99.9 percent monthly during the 06:00 to 21:00 field window, seven days a week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Availability SLO in Azure Monitor, reviewed monthly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Performance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Round and verification screens 95th percentile under 2 seconds and photograph capture acknowledged under 1 second, at 350 concurrent technicians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Load test at 1.5 times the morning dispatch peak</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Scalability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1,600 technicians, 3.2 million meters in the verification population, 14,000 verifications per month, scaling to twice that without redesign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Capacity test and scale-out validation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Reliability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Retries with backoff on integration calls, warm standby in the paired region, verification continues offline when the service is unreachable, RPO 15 minutes and RTO 4 hours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Quarterly failover exercise and a disconnected-round test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Observability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Structured logs, evidence completeness metrics, custody gap alerts, adjustment ageing dashboards, traces correlated end to end, alerts on unposted adjustments and sync backlog, retained 90 days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Operational readiness review and monthly service review</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Accessibility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WCAG 2.2 AA across the field handheld and the analyst web view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Automated axe scan in the pipeline and an annual manual audit in low and high ambient light</w:t>
            </w:r>
          </w:p>
        </w:tc>
      </w:tr>
    </w:tbl>
    <w:p>
      <w:pPr>
        <w:pStyle w:val="Heading1"/>
        <w:spacing w:after="100" w:before="280"/>
      </w:pPr>
      <w:r>
        <w:t xml:space="preserve">9. Environments and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Environment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Purpose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Subscription / resource group</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Data classification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Approval gate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Dev</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Development and integration testing with synthetic data only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sub-eng-dev / rg-umv-dev</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Synthetic, no production records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Automatic on pull-request merge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Test / UAT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System, contract, accessibility and user acceptance testing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sub-eng-test / rg-umv-test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Masked copy of production, Confidential, regulatory evidence with personal data</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QA lead sign-off before promotion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Prod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Live service for all users in scope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sub-eng-prod / rg-umv-prod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regulatory evidence with personal data</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Change advisory board approval and successful UAT</w:t>
            </w:r>
          </w:p>
        </w:tc>
      </w:tr>
    </w:tbl>
    <w:p>
      <w:pPr>
        <w:spacing w:after="120"/>
      </w:pPr>
      <w:r>
        <w:rPr>
          <w:i/>
          <w:iCs/>
          <w:color w:val="5B6470"/>
        </w:rPr>
        <w:t xml:space="preserve">Configuration is held per environment in App Configuration, with feature flags gating offline capture, agent assistance and the progressive rollout of each new screen. The application team owns application settings, the integration team owns endpoint and timeout settings, and platform operations owns infrastructure settings. Secret values live in Key Vault and are referenced rather than copied; no secret value appears in this document or in any environment file.</w:t>
      </w:r>
    </w:p>
    <w:p>
      <w:pPr>
        <w:pStyle w:val="Heading1"/>
        <w:spacing w:after="100" w:before="280"/>
      </w:pPr>
      <w:r>
        <w:t xml:space="preserve">10. Build, Test, Deploy, and Operate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Stage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Required checks / artifacts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Approval</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Build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Compile, lint, unit tests above the agreed coverage floor, dependency vulnerability scan, secret scan, infrastructure-as-code validation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Automated gate, blocking on any high-severity finding</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Test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Integration and contract tests, security testing, automated and manual accessibility audit, signed user acceptance evidence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QA lead and business product owner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Deploy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Infrastructure-as-code plan and apply, build provenance attestation, database migration dry run, progressive rollout with health gates, smoke tests, and an attached rollback plan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Release manager, with automatic rollback on gate failure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Operate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Dashboards, alert routing, on-call runbook, monthly service review, and quarterly access recertification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Service owner</w:t>
            </w:r>
          </w:p>
        </w:tc>
      </w:tr>
    </w:tbl>
    <w:p>
      <w:pPr>
        <w:pStyle w:val="Heading1"/>
        <w:spacing w:after="100" w:before="280"/>
      </w:pPr>
      <w:r>
        <w:t xml:space="preserve">11. Constraints, Risks, and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ID</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Type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Description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Owner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Mitigation / decision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Status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TR-001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Risk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 tamper case could fail on challenge because an evidence item was missing at capture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Field Systems team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The evidence standard is enforced at submission with every missing item named, and the standard itself is configuration reviewed by the legal team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Open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TR-002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Risk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 custody gap would render removed equipment inadmissible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Revenue Systems team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Every transfer records both parties, time and location; a gap is flagged automatically and blocks case closure until explained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Open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TR-003</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Constraint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Customer payment and debt data may not reach the field device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Security architect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The field API projection excludes those fields entirely rather than filtering them in the client, and a contract test asserts their absence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Accepted</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TR-004</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Decision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Adjustment proposals fail closed when tariff data is unavailable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Solution architect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Calculating on a stale tariff would misstate a customer's bill, which is worse than a delayed proposal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Closed</w:t>
            </w:r>
          </w:p>
        </w:tc>
      </w:tr>
    </w:tbl>
    <w:p>
      <w:pPr>
        <w:pStyle w:val="Heading1"/>
        <w:spacing w:after="100" w:before="280"/>
      </w:pPr>
      <w:r>
        <w:t xml:space="preserve">12. Technical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Reviewer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Role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Decision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Comments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Date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Solution architect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Architecture authority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Stack, boundaries and integration contracts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Security architect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Security and privacy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Identity, data protection and threat model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Platform lead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Cloud platform operations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Hosting, environments and operability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dc:title>
  <dc:creator>Agentic SDLC</dc:creator>
  <dc:description>Reusable Agentic SDLC project-intake template</dc:description>
  <cp:lastModifiedBy>Un-named</cp:lastModifiedBy>
  <cp:revision>1</cp:revision>
  <dcterms:created xsi:type="dcterms:W3CDTF">2026-08-24T15:44:50.583Z</dcterms:created>
  <dcterms:modified xsi:type="dcterms:W3CDTF">2026-08-24T15:44:50.583Z</dcterms:modified>
</cp:coreProperties>
</file>

<file path=docProps/custom.xml><?xml version="1.0" encoding="utf-8"?>
<Properties xmlns="http://schemas.openxmlformats.org/officeDocument/2006/custom-properties" xmlns:vt="http://schemas.openxmlformats.org/officeDocument/2006/docPropsVTypes"/>
</file>