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401(k) Enrollment and Employer Match Guide</w:t>
      </w:r>
    </w:p>
    <w:p>
      <w:r>
        <w:rPr>
          <w:i/>
        </w:rPr>
        <w:t>HR Knowledge Hub | Compensation and Benefits</w:t>
      </w:r>
    </w:p>
    <w:p>
      <w:r>
        <w:t>Owner: Sam Whitfield  |  Last updated: October 30, 2026</w:t>
      </w:r>
    </w:p>
    <w:p>
      <w:r>
        <w:t>Explains automatic enrollment defaults, the employer match formula, and vesting schedule for retirement contributions.</w:t>
      </w:r>
    </w:p>
    <w:p>
      <w:pPr>
        <w:pStyle w:val="Heading1"/>
      </w:pPr>
      <w:r>
        <w:t>Key Points</w:t>
      </w:r>
    </w:p>
    <w:p>
      <w:pPr>
        <w:pStyle w:val="ListBullet"/>
      </w:pPr>
      <w:r>
        <w:t>New hires are auto-enrolled at 4% contribution after 30 days unless they opt out.</w:t>
      </w:r>
    </w:p>
    <w:p>
      <w:pPr>
        <w:pStyle w:val="ListBullet"/>
      </w:pPr>
      <w:r>
        <w:t>Employer matches 50% of the first 6% an employee contributes.</w:t>
      </w:r>
    </w:p>
    <w:p>
      <w:pPr>
        <w:pStyle w:val="ListBullet"/>
      </w:pPr>
      <w:r>
        <w:t>Employer match vests over four years on a graded schedule.</w:t>
      </w:r>
    </w:p>
    <w:p>
      <w:pPr>
        <w:pStyle w:val="ListBullet"/>
      </w:pPr>
      <w:r>
        <w:t>Loans against the 401(k) balance are limited to 50% of vested balance.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