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Grievance and Appeals Procedure</w:t>
      </w:r>
    </w:p>
    <w:p>
      <w:r>
        <w:rPr>
          <w:i/>
        </w:rPr>
        <w:t>HR Knowledge Hub | Employee Relations</w:t>
      </w:r>
    </w:p>
    <w:p>
      <w:r>
        <w:t>Owner: Ben Okafor  |  Last updated: October 30, 2026</w:t>
      </w:r>
    </w:p>
    <w:p>
      <w:r>
        <w:t>Describes how an employee can escalate an unresolved workplace concern beyond their direct manager.</w:t>
      </w:r>
    </w:p>
    <w:p>
      <w:pPr>
        <w:pStyle w:val="Heading1"/>
      </w:pPr>
      <w:r>
        <w:t>Key Points</w:t>
      </w:r>
    </w:p>
    <w:p>
      <w:pPr>
        <w:pStyle w:val="ListBullet"/>
      </w:pPr>
      <w:r>
        <w:t>Step 1 escalation goes to the employee's HR Business Partner.</w:t>
      </w:r>
    </w:p>
    <w:p>
      <w:pPr>
        <w:pStyle w:val="ListBullet"/>
      </w:pPr>
      <w:r>
        <w:t>Step 2 escalation, if unresolved, goes to the VP of People.</w:t>
      </w:r>
    </w:p>
    <w:p>
      <w:pPr>
        <w:pStyle w:val="ListBullet"/>
      </w:pPr>
      <w:r>
        <w:t>Formal grievances are logged and tracked to resolution within 15 business days.</w:t>
      </w:r>
    </w:p>
    <w:p>
      <w:pPr>
        <w:pStyle w:val="ListBullet"/>
      </w:pPr>
      <w:r>
        <w:t>Retaliation against an employee who files a grievance is itself a policy violation.</w:t>
      </w:r>
    </w:p>
    <w:p>
      <w:r>
        <w:rPr>
          <w:color w:val="808080"/>
          <w:sz w:val="16"/>
        </w:rPr>
        <w:t>Source: HR Knowledge Hub knowledge base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