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Workplace Investigation Checklist</w:t>
      </w:r>
    </w:p>
    <w:p>
      <w:r>
        <w:rPr>
          <w:i/>
        </w:rPr>
        <w:t>HR Knowledge Hub | Employee Relations</w:t>
      </w:r>
    </w:p>
    <w:p>
      <w:r>
        <w:t>Owner: Ben Okafor  |  Last updated: October 30, 2026</w:t>
      </w:r>
    </w:p>
    <w:p>
      <w:r>
        <w:t>Step-by-step checklist used by Employee Relations when investigating a workplace complaint, from intake through resolution.</w:t>
      </w:r>
    </w:p>
    <w:p>
      <w:pPr>
        <w:pStyle w:val="Heading1"/>
      </w:pPr>
      <w:r>
        <w:t>Key Points</w:t>
      </w:r>
    </w:p>
    <w:p>
      <w:pPr>
        <w:pStyle w:val="ListBullet"/>
      </w:pPr>
      <w:r>
        <w:t>Intake interview is scheduled within 2 business days of a complaint being filed.</w:t>
      </w:r>
    </w:p>
    <w:p>
      <w:pPr>
        <w:pStyle w:val="ListBullet"/>
      </w:pPr>
      <w:r>
        <w:t>All witnesses are interviewed separately and notes are retained in the case file.</w:t>
      </w:r>
    </w:p>
    <w:p>
      <w:pPr>
        <w:pStyle w:val="ListBullet"/>
      </w:pPr>
      <w:r>
        <w:t>Findings are documented using a substantiated, partially substantiated, or unsubstantiated outcome.</w:t>
      </w:r>
    </w:p>
    <w:p>
      <w:pPr>
        <w:pStyle w:val="ListBullet"/>
      </w:pPr>
      <w:r>
        <w:t>Complainant and respondent both receive a closure communication within 5 business days of resolution.</w:t>
      </w:r>
    </w:p>
    <w:p>
      <w:r>
        <w:rPr>
          <w:color w:val="808080"/>
          <w:sz w:val="16"/>
        </w:rPr>
        <w:t>Source: HR Knowledge Hub knowledge base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