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Data Privacy and Confidentiality Policy</w:t>
      </w:r>
    </w:p>
    <w:p>
      <w:r>
        <w:rPr>
          <w:i/>
        </w:rPr>
        <w:t>HR Knowledge Hub | HR Policies</w:t>
      </w:r>
    </w:p>
    <w:p>
      <w:r>
        <w:t>Owner: Maria Chen  |  Last updated: October 30, 2026</w:t>
      </w:r>
    </w:p>
    <w:p>
      <w:r>
        <w:t>Explains how employee and candidate personal data is collected, stored, and shared, and the obligations employees have when handling confidential HR records.</w:t>
      </w:r>
    </w:p>
    <w:p>
      <w:pPr>
        <w:pStyle w:val="Heading1"/>
      </w:pPr>
      <w:r>
        <w:t>Key Points</w:t>
      </w:r>
    </w:p>
    <w:p>
      <w:pPr>
        <w:pStyle w:val="ListBullet"/>
      </w:pPr>
      <w:r>
        <w:t>HR records are retained for 7 years after separation, then securely purged.</w:t>
      </w:r>
    </w:p>
    <w:p>
      <w:pPr>
        <w:pStyle w:val="ListBullet"/>
      </w:pPr>
      <w:r>
        <w:t>Access to compensation and medical data is restricted to HR Business Partners and Total Rewards.</w:t>
      </w:r>
    </w:p>
    <w:p>
      <w:pPr>
        <w:pStyle w:val="ListBullet"/>
      </w:pPr>
      <w:r>
        <w:t>Background check results may not be shared outside the hiring committee.</w:t>
      </w:r>
    </w:p>
    <w:p>
      <w:pPr>
        <w:pStyle w:val="ListBullet"/>
      </w:pPr>
      <w:r>
        <w:t>Any suspected data exposure must be reported to IT Security within one business day.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