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Diversity, Equity, and Inclusion Policy</w:t>
      </w:r>
    </w:p>
    <w:p>
      <w:r>
        <w:rPr>
          <w:i/>
        </w:rPr>
        <w:t>HR Knowledge Hub | HR Policies</w:t>
      </w:r>
    </w:p>
    <w:p>
      <w:r>
        <w:t>Owner: Maria Chen  |  Last updated: October 30, 2026</w:t>
      </w:r>
    </w:p>
    <w:p>
      <w:r>
        <w:t>Outlines the company's commitments to equitable hiring, pay equity reviews, and employee resource groups.</w:t>
      </w:r>
    </w:p>
    <w:p>
      <w:pPr>
        <w:pStyle w:val="Heading1"/>
      </w:pPr>
      <w:r>
        <w:t>Key Points</w:t>
      </w:r>
    </w:p>
    <w:p>
      <w:pPr>
        <w:pStyle w:val="ListBullet"/>
      </w:pPr>
      <w:r>
        <w:t>Hiring panels must include at least one member from outside the hiring manager's team.</w:t>
      </w:r>
    </w:p>
    <w:p>
      <w:pPr>
        <w:pStyle w:val="ListBullet"/>
      </w:pPr>
      <w:r>
        <w:t>Pay equity analysis is run twice yearly across all job families.</w:t>
      </w:r>
    </w:p>
    <w:p>
      <w:pPr>
        <w:pStyle w:val="ListBullet"/>
      </w:pPr>
      <w:r>
        <w:t>Four employee resource groups are funded with an annual budget and executive sponsor.</w:t>
      </w:r>
    </w:p>
    <w:p>
      <w:pPr>
        <w:pStyle w:val="ListBullet"/>
      </w:pPr>
      <w:r>
        <w:t>DEI progress is reported to the leadership team each quarter.</w:t>
      </w:r>
    </w:p>
    <w:p>
      <w:r>
        <w:rPr>
          <w:color w:val="808080"/>
          <w:sz w:val="16"/>
        </w:rPr>
        <w:t>Source: HR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