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Employee Handbook - Code of Conduct</w:t>
      </w:r>
    </w:p>
    <w:p>
      <w:r>
        <w:rPr>
          <w:i/>
        </w:rPr>
        <w:t>HR Knowledge Hub | HR Policies</w:t>
      </w:r>
    </w:p>
    <w:p>
      <w:r>
        <w:t>Owner: Maria Chen  |  Last updated: October 30, 2026</w:t>
      </w:r>
    </w:p>
    <w:p>
      <w:r>
        <w:t>Defines the standards of professional conduct expected of every employee, including workplace respect, conflicts of interest, and use of company assets.</w:t>
      </w:r>
    </w:p>
    <w:p>
      <w:pPr>
        <w:pStyle w:val="Heading1"/>
      </w:pPr>
      <w:r>
        <w:t>Key Points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r>
        <w:rPr>
          <w:color w:val="808080"/>
          <w:sz w:val="16"/>
        </w:rPr>
        <w:t>Source: HR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