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Flexible Work and Remote Work Policy</w:t>
      </w:r>
    </w:p>
    <w:p>
      <w:r>
        <w:rPr>
          <w:i/>
        </w:rPr>
        <w:t>HR Knowledge Hub | HR Policies</w:t>
      </w:r>
    </w:p>
    <w:p>
      <w:r>
        <w:t>Owner: Devon Russell  |  Last updated: October 30, 2026</w:t>
      </w:r>
    </w:p>
    <w:p>
      <w:r>
        <w:t>Describes eligibility, expectations, and equipment support for employees working remotely or on a hybrid schedule.</w:t>
      </w:r>
    </w:p>
    <w:p>
      <w:pPr>
        <w:pStyle w:val="Heading1"/>
      </w:pPr>
      <w:r>
        <w:t>Key Points</w:t>
      </w:r>
    </w:p>
    <w:p>
      <w:pPr>
        <w:pStyle w:val="ListBullet"/>
      </w:pPr>
      <w:r>
        <w:t>Hybrid roles require a minimum of two in-office days coordinated with the team lead.</w:t>
      </w:r>
    </w:p>
    <w:p>
      <w:pPr>
        <w:pStyle w:val="ListBullet"/>
      </w:pPr>
      <w:r>
        <w:t>Remote employees receive a one-time $750 home office stipend on hire.</w:t>
      </w:r>
    </w:p>
    <w:p>
      <w:pPr>
        <w:pStyle w:val="ListBullet"/>
      </w:pPr>
      <w:r>
        <w:t>Core collaboration hours are 10:00 AM - 3:00 PM in the employee's local time zone.</w:t>
      </w:r>
    </w:p>
    <w:p>
      <w:pPr>
        <w:pStyle w:val="ListBullet"/>
      </w:pPr>
      <w:r>
        <w:t>Managers approve remote work arrangements annually during the performance cycle.</w:t>
      </w:r>
    </w:p>
    <w:p>
      <w:r>
        <w:rPr>
          <w:color w:val="808080"/>
          <w:sz w:val="16"/>
        </w:rPr>
        <w:t>Source: HR Knowledge Hub knowledge base | SharePoint Online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