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Paid Time Off and Leave of Absence Policy</w:t>
      </w:r>
    </w:p>
    <w:p>
      <w:r>
        <w:rPr>
          <w:i/>
        </w:rPr>
        <w:t>HR Knowledge Hub | HR Policies</w:t>
      </w:r>
    </w:p>
    <w:p>
      <w:r>
        <w:t>Owner: Devon Russell  |  Last updated: October 30, 2026</w:t>
      </w:r>
    </w:p>
    <w:p>
      <w:r>
        <w:t>Summarizes accrual rates, blackout periods, and the process for requesting extended leave, including parental and medical leave.</w:t>
      </w:r>
    </w:p>
    <w:p>
      <w:pPr>
        <w:pStyle w:val="Heading1"/>
      </w:pPr>
      <w:r>
        <w:t>Key Points</w:t>
      </w:r>
    </w:p>
    <w:p>
      <w:pPr>
        <w:pStyle w:val="ListBullet"/>
      </w:pPr>
      <w:r>
        <w:t>Full-time employees accrue 1.25 PTO days per month, capped at 30 days banked.</w:t>
      </w:r>
    </w:p>
    <w:p>
      <w:pPr>
        <w:pStyle w:val="ListBullet"/>
      </w:pPr>
      <w:r>
        <w:t>Parental leave provides 12 weeks paid for the primary caregiver and 6 weeks for the secondary caregiver.</w:t>
      </w:r>
    </w:p>
    <w:p>
      <w:pPr>
        <w:pStyle w:val="ListBullet"/>
      </w:pPr>
      <w:r>
        <w:t>Leave requests over 10 consecutive days require HR Business Partner sign-off.</w:t>
      </w:r>
    </w:p>
    <w:p>
      <w:pPr>
        <w:pStyle w:val="ListBullet"/>
      </w:pPr>
      <w:r>
        <w:t>Unused PTO above the cap is forfeited at calendar year end per state requirements.</w:t>
      </w:r>
    </w:p>
    <w:p>
      <w:r>
        <w:rPr>
          <w:color w:val="808080"/>
          <w:sz w:val="16"/>
        </w:rPr>
        <w:t>Source: HR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