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Workplace Safety and Incident Reporting Policy</w:t>
      </w:r>
    </w:p>
    <w:p>
      <w:r>
        <w:rPr>
          <w:i/>
        </w:rPr>
        <w:t>HR Knowledge Hub | HR Policies</w:t>
      </w:r>
    </w:p>
    <w:p>
      <w:r>
        <w:t>Owner: Ben Okafor  |  Last updated: October 30, 2026</w:t>
      </w:r>
    </w:p>
    <w:p>
      <w:r>
        <w:t>Sets expectations for a safe office and lab environment and the steps for reporting an injury, near-miss, or safety hazard.</w:t>
      </w:r>
    </w:p>
    <w:p>
      <w:pPr>
        <w:pStyle w:val="Heading1"/>
      </w:pPr>
      <w:r>
        <w:t>Key Points</w:t>
      </w:r>
    </w:p>
    <w:p>
      <w:pPr>
        <w:pStyle w:val="ListBullet"/>
      </w:pPr>
      <w:r>
        <w:t>Any workplace injury must be reported to Facilities and HR within 24 hours.</w:t>
      </w:r>
    </w:p>
    <w:p>
      <w:pPr>
        <w:pStyle w:val="ListBullet"/>
      </w:pPr>
      <w:r>
        <w:t>Ergonomic assessments are available on request through the Facilities portal.</w:t>
      </w:r>
    </w:p>
    <w:p>
      <w:pPr>
        <w:pStyle w:val="ListBullet"/>
      </w:pPr>
      <w:r>
        <w:t>Building evacuation drills are conducted twice per year per site.</w:t>
      </w:r>
    </w:p>
    <w:p>
      <w:pPr>
        <w:pStyle w:val="ListBullet"/>
      </w:pPr>
      <w:r>
        <w:t>Repeat hazards identified in incident reports trigger a facilities corrective action review.</w:t>
      </w:r>
    </w:p>
    <w:p>
      <w:r>
        <w:rPr>
          <w:color w:val="808080"/>
          <w:sz w:val="16"/>
        </w:rPr>
        <w:t>Source: HR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