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Manager's Guide to Structured Interviewing</w:t>
      </w:r>
    </w:p>
    <w:p>
      <w:r>
        <w:rPr>
          <w:i/>
        </w:rPr>
        <w:t>HR Knowledge Hub | Recruiting and Onboarding</w:t>
      </w:r>
    </w:p>
    <w:p>
      <w:r>
        <w:t>Owner: Priya Natarajan  |  Last updated: October 30, 2026</w:t>
      </w:r>
    </w:p>
    <w:p>
      <w:r>
        <w:t>Walks hiring managers through building a scorecard, running a structured interview loop, and submitting calibrated feedback.</w:t>
      </w:r>
    </w:p>
    <w:p>
      <w:pPr>
        <w:pStyle w:val="Heading1"/>
      </w:pPr>
      <w:r>
        <w:t>Key Points</w:t>
      </w:r>
    </w:p>
    <w:p>
      <w:pPr>
        <w:pStyle w:val="ListBullet"/>
      </w:pPr>
      <w:r>
        <w:t>Every loop uses a shared scorecard with 4-5 competencies agreed before scheduling.</w:t>
      </w:r>
    </w:p>
    <w:p>
      <w:pPr>
        <w:pStyle w:val="ListBullet"/>
      </w:pPr>
      <w:r>
        <w:t>Interviewers submit written feedback within 24 hours of the interview.</w:t>
      </w:r>
    </w:p>
    <w:p>
      <w:pPr>
        <w:pStyle w:val="ListBullet"/>
      </w:pPr>
      <w:r>
        <w:t>Debriefs are led by the recruiter and require a clear hire/no-hire recommendation.</w:t>
      </w:r>
    </w:p>
    <w:p>
      <w:pPr>
        <w:pStyle w:val="ListBullet"/>
      </w:pPr>
      <w:r>
        <w:t>Panels avoid duplicate competency coverage by splitting the scorecard in advance.</w:t>
      </w:r>
    </w:p>
    <w:p>
      <w:r>
        <w:rPr>
          <w:color w:val="808080"/>
          <w:sz w:val="16"/>
        </w:rPr>
        <w:t>Source: HR Knowledge Hub knowledge base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