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Changeover Standard Operating Procedure</w:t>
      </w:r>
    </w:p>
    <w:p>
      <w:r>
        <w:rPr>
          <w:i/>
        </w:rPr>
        <w:t>Manufacturing Knowledge Hub | Production Operations</w:t>
      </w:r>
    </w:p>
    <w:p>
      <w:r>
        <w:t>Owner: Grace Liu  |  Last updated: October 30, 2026</w:t>
      </w:r>
    </w:p>
    <w:p>
      <w:r>
        <w:t>Standardized changeover sequence intended to reduce setup time between product variants on Assembly Line 1.</w:t>
      </w:r>
    </w:p>
    <w:p>
      <w:pPr>
        <w:pStyle w:val="Heading1"/>
      </w:pPr>
      <w:r>
        <w:t>Key Points</w:t>
      </w:r>
    </w:p>
    <w:p>
      <w:pPr>
        <w:pStyle w:val="ListBullet"/>
      </w:pPr>
      <w:r>
        <w:t>Changeover is split into internal steps (machine stopped) and external steps (prepared in advance).</w:t>
      </w:r>
    </w:p>
    <w:p>
      <w:pPr>
        <w:pStyle w:val="ListBullet"/>
      </w:pPr>
      <w:r>
        <w:t>Target changeover time is 22 minutes, down from a 35 minute baseline.</w:t>
      </w:r>
    </w:p>
    <w:p>
      <w:pPr>
        <w:pStyle w:val="ListBullet"/>
      </w:pPr>
      <w:r>
        <w:t>Tooling carts are pre-staged by the prior shift to reduce internal step time.</w:t>
      </w:r>
    </w:p>
    <w:p>
      <w:pPr>
        <w:pStyle w:val="ListBullet"/>
      </w:pPr>
      <w:r>
        <w:t>Changeover time is logged and reviewed weekly against the target.</w:t>
      </w:r>
    </w:p>
    <w:p>
      <w:r>
        <w:rPr>
          <w:color w:val="808080"/>
          <w:sz w:val="16"/>
        </w:rPr>
        <w:t>Source: Manufacturing Knowledge Hub knowledge base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