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Shift Handover Log Template and Guide</w:t>
      </w:r>
    </w:p>
    <w:p>
      <w:r>
        <w:rPr>
          <w:i/>
        </w:rPr>
        <w:t>Manufacturing Knowledge Hub | Production Operations</w:t>
      </w:r>
    </w:p>
    <w:p>
      <w:r>
        <w:t>Owner: Grace Liu  |  Last updated: October 30, 2026</w:t>
      </w:r>
    </w:p>
    <w:p>
      <w:r>
        <w:t>Standard template and guidance for documenting open issues, in-process WIP, and safety notes at every shift change.</w:t>
      </w:r>
    </w:p>
    <w:p>
      <w:pPr>
        <w:pStyle w:val="Heading1"/>
      </w:pPr>
      <w:r>
        <w:t>Key Points</w:t>
      </w:r>
    </w:p>
    <w:p>
      <w:pPr>
        <w:pStyle w:val="ListBullet"/>
      </w:pPr>
      <w:r>
        <w:t>Handover covers open quality holds, equipment status, and staffing notes.</w:t>
      </w:r>
    </w:p>
    <w:p>
      <w:pPr>
        <w:pStyle w:val="ListBullet"/>
      </w:pPr>
      <w:r>
        <w:t>Outgoing supervisor and incoming supervisor both sign off before shift transition completes.</w:t>
      </w:r>
    </w:p>
    <w:p>
      <w:pPr>
        <w:pStyle w:val="ListBullet"/>
      </w:pPr>
      <w:r>
        <w:t>Unresolved items from the prior handover must be explicitly carried forward, not dropped.</w:t>
      </w:r>
    </w:p>
    <w:p>
      <w:pPr>
        <w:pStyle w:val="ListBullet"/>
      </w:pPr>
      <w:r>
        <w:t>Handover logs are retained for 90 days for trend review.</w:t>
      </w:r>
    </w:p>
    <w:p>
      <w:r>
        <w:rPr>
          <w:color w:val="808080"/>
          <w:sz w:val="16"/>
        </w:rPr>
        <w:t>Source: Manufacturing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