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Incoming Material Inspection Procedure</w:t>
      </w:r>
    </w:p>
    <w:p>
      <w:r>
        <w:rPr>
          <w:i/>
        </w:rPr>
        <w:t>Manufacturing Knowledge Hub | Quality Assurance</w:t>
      </w:r>
    </w:p>
    <w:p>
      <w:r>
        <w:t>Owner: Linda Park  |  Last updated: October 30, 2026</w:t>
      </w:r>
    </w:p>
    <w:p>
      <w:r>
        <w:t>Defines the sampling plan, acceptance criteria, and disposition process for raw materials received from approved suppliers.</w:t>
      </w:r>
    </w:p>
    <w:p>
      <w:pPr>
        <w:pStyle w:val="Heading1"/>
      </w:pPr>
      <w:r>
        <w:t>Key Points</w:t>
      </w:r>
    </w:p>
    <w:p>
      <w:pPr>
        <w:pStyle w:val="ListBullet"/>
      </w:pPr>
      <w:r>
        <w:t>Sampling follows an AQL 1.0 plan based on lot size per ANSI/ASQ Z1.4.</w:t>
      </w:r>
    </w:p>
    <w:p>
      <w:pPr>
        <w:pStyle w:val="ListBullet"/>
      </w:pPr>
      <w:r>
        <w:t>Dimensional checks use calibrated gauges logged against the calibration schedule.</w:t>
      </w:r>
    </w:p>
    <w:p>
      <w:pPr>
        <w:pStyle w:val="ListBullet"/>
      </w:pPr>
      <w:r>
        <w:t>Nonconforming lots are quarantined and tagged pending Material Review Board decision.</w:t>
      </w:r>
    </w:p>
    <w:p>
      <w:pPr>
        <w:pStyle w:val="ListBullet"/>
      </w:pPr>
      <w:r>
        <w:t>Supplier is notified within 24 hours of any lot rejection with supporting measurement data.</w:t>
      </w:r>
    </w:p>
    <w:p>
      <w:r>
        <w:rPr>
          <w:color w:val="808080"/>
          <w:sz w:val="16"/>
        </w:rPr>
        <w:t>Source: Manufacturing Knowledge Hub knowledge base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