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ISO 9001 Internal Audit Checklist</w:t>
      </w:r>
    </w:p>
    <w:p>
      <w:r>
        <w:rPr>
          <w:i/>
        </w:rPr>
        <w:t>Manufacturing Knowledge Hub | Quality Assurance</w:t>
      </w:r>
    </w:p>
    <w:p>
      <w:r>
        <w:t>Owner: Linda Park  |  Last updated: October 30, 2026</w:t>
      </w:r>
    </w:p>
    <w:p>
      <w:r>
        <w:t>Checklist used by internal auditors to assess conformance to ISO 9001 clauses during the semiannual internal audit cycle.</w:t>
      </w:r>
    </w:p>
    <w:p>
      <w:pPr>
        <w:pStyle w:val="Heading1"/>
      </w:pPr>
      <w:r>
        <w:t>Key Points</w:t>
      </w:r>
    </w:p>
    <w:p>
      <w:pPr>
        <w:pStyle w:val="ListBullet"/>
      </w:pPr>
      <w:r>
        <w:t>Audit covers document control, training records, and nonconformance management.</w:t>
      </w:r>
    </w:p>
    <w:p>
      <w:pPr>
        <w:pStyle w:val="ListBullet"/>
      </w:pPr>
      <w:r>
        <w:t>Each finding is classified as major, minor, or observation.</w:t>
      </w:r>
    </w:p>
    <w:p>
      <w:pPr>
        <w:pStyle w:val="ListBullet"/>
      </w:pPr>
      <w:r>
        <w:t>Auditees have 15 business days to submit a corrective action plan for major findings.</w:t>
      </w:r>
    </w:p>
    <w:p>
      <w:pPr>
        <w:pStyle w:val="ListBullet"/>
      </w:pPr>
      <w:r>
        <w:t>Audit results feed the management review meeting agenda.</w:t>
      </w:r>
    </w:p>
    <w:p>
      <w:r>
        <w:rPr>
          <w:color w:val="808080"/>
          <w:sz w:val="16"/>
        </w:rPr>
        <w:t>Source: Manufacturing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