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Incoming Materials Service Level Agreement</w:t>
      </w:r>
    </w:p>
    <w:p>
      <w:r>
        <w:rPr>
          <w:i/>
        </w:rPr>
        <w:t>Manufacturing Knowledge Hub | Supply Chain and Logistics</w:t>
      </w:r>
    </w:p>
    <w:p>
      <w:r>
        <w:t>Owner: Omar Haddad  |  Last updated: October 30, 2026</w:t>
      </w:r>
    </w:p>
    <w:p>
      <w:r>
        <w:t>Defines delivery windows, packaging requirements, and documentation standards expected from approved raw material suppliers.</w:t>
      </w:r>
    </w:p>
    <w:p>
      <w:pPr>
        <w:pStyle w:val="Heading1"/>
      </w:pPr>
      <w:r>
        <w:t>Key Points</w:t>
      </w:r>
    </w:p>
    <w:p>
      <w:pPr>
        <w:pStyle w:val="ListBullet"/>
      </w:pPr>
      <w:r>
        <w:t>Deliveries outside the scheduled two-hour receiving window require advance notice.</w:t>
      </w:r>
    </w:p>
    <w:p>
      <w:pPr>
        <w:pStyle w:val="ListBullet"/>
      </w:pPr>
      <w:r>
        <w:t>Certificates of analysis must accompany every lot of regulated raw material.</w:t>
      </w:r>
    </w:p>
    <w:p>
      <w:pPr>
        <w:pStyle w:val="ListBullet"/>
      </w:pPr>
      <w:r>
        <w:t>Packaging must meet the drop-test and stacking requirements in the supplier handbook.</w:t>
      </w:r>
    </w:p>
    <w:p>
      <w:pPr>
        <w:pStyle w:val="ListBullet"/>
      </w:pPr>
      <w:r>
        <w:t>Repeated SLA violations are reviewed at the quarterly supplier business review.</w:t>
      </w:r>
    </w:p>
    <w:p>
      <w:r>
        <w:rPr>
          <w:color w:val="808080"/>
          <w:sz w:val="16"/>
        </w:rPr>
        <w:t>Source: Manufacturing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