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Inventory Cycle Count Procedure</w:t>
      </w:r>
    </w:p>
    <w:p>
      <w:r>
        <w:rPr>
          <w:i/>
        </w:rPr>
        <w:t>Manufacturing Knowledge Hub | Supply Chain and Logistics</w:t>
      </w:r>
    </w:p>
    <w:p>
      <w:r>
        <w:t>Owner: Omar Haddad  |  Last updated: October 30, 2026</w:t>
      </w:r>
    </w:p>
    <w:p>
      <w:r>
        <w:t>Describes the rotating cycle count schedule and discrepancy resolution process used in place of a full annual physical inventory.</w:t>
      </w:r>
    </w:p>
    <w:p>
      <w:pPr>
        <w:pStyle w:val="Heading1"/>
      </w:pPr>
      <w:r>
        <w:t>Key Points</w:t>
      </w:r>
    </w:p>
    <w:p>
      <w:pPr>
        <w:pStyle w:val="ListBullet"/>
      </w:pPr>
      <w:r>
        <w:t>High-value SKUs are counted monthly; low-value SKUs are counted quarterly.</w:t>
      </w:r>
    </w:p>
    <w:p>
      <w:pPr>
        <w:pStyle w:val="ListBullet"/>
      </w:pPr>
      <w:r>
        <w:t>Discrepancies over 2% of on-hand quantity trigger a root cause investigation.</w:t>
      </w:r>
    </w:p>
    <w:p>
      <w:pPr>
        <w:pStyle w:val="ListBullet"/>
      </w:pPr>
      <w:r>
        <w:t>Cycle count accuracy is tracked as a monthly KPI reported to the supply chain manager.</w:t>
      </w:r>
    </w:p>
    <w:p>
      <w:pPr>
        <w:pStyle w:val="ListBullet"/>
      </w:pPr>
      <w:r>
        <w:t>Count adjustments require dual sign-off before the system of record is updated.</w:t>
      </w:r>
    </w:p>
    <w:p>
      <w:r>
        <w:rPr>
          <w:color w:val="808080"/>
          <w:sz w:val="16"/>
        </w:rPr>
        <w:t>Source: Manufacturing Knowledge Hub knowledge base | SharePoint Online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