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Renewal Playbook</w:t>
      </w:r>
    </w:p>
    <w:p>
      <w:r>
        <w:rPr>
          <w:i/>
        </w:rPr>
        <w:t>Sales &amp; Marketing Knowledge Hub | Customer Success</w:t>
      </w:r>
    </w:p>
    <w:p>
      <w:r>
        <w:t>Owner: Tom Bergstrom  |  Last updated: October 30, 2026</w:t>
      </w:r>
    </w:p>
    <w:p>
      <w:r>
        <w:t>Outlines the renewal timeline, discounting guardrails, and escalation path for at-risk renewals.</w:t>
      </w:r>
    </w:p>
    <w:p>
      <w:pPr>
        <w:pStyle w:val="Heading1"/>
      </w:pPr>
      <w:r>
        <w:t>Key Points</w:t>
      </w:r>
    </w:p>
    <w:p>
      <w:pPr>
        <w:pStyle w:val="ListBullet"/>
      </w:pPr>
      <w:r>
        <w:t>Renewal conversations begin 120 days before contract end date.</w:t>
      </w:r>
    </w:p>
    <w:p>
      <w:pPr>
        <w:pStyle w:val="ListBullet"/>
      </w:pPr>
      <w:r>
        <w:t>Discounting on renewals above 10% requires VP of Sales approval.</w:t>
      </w:r>
    </w:p>
    <w:p>
      <w:pPr>
        <w:pStyle w:val="ListBullet"/>
      </w:pPr>
      <w:r>
        <w:t>At-risk renewals are flagged to the churn risk scorecard for cross-team visibility.</w:t>
      </w:r>
    </w:p>
    <w:p>
      <w:pPr>
        <w:pStyle w:val="ListBullet"/>
      </w:pPr>
      <w:r>
        <w:t>Multi-year renewal incentives are offered only through the approved renewal template.</w:t>
      </w:r>
    </w:p>
    <w:p>
      <w:r>
        <w:rPr>
          <w:color w:val="808080"/>
          <w:sz w:val="16"/>
        </w:rPr>
        <w:t>Source: Sales &amp; Marketing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