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Brand and Messaging Guidelines</w:t>
      </w:r>
    </w:p>
    <w:p>
      <w:r>
        <w:rPr>
          <w:i/>
        </w:rPr>
        <w:t>Sales &amp; Marketing Knowledge Hub | Marketing Campaigns</w:t>
      </w:r>
    </w:p>
    <w:p>
      <w:r>
        <w:t>Owner: Sofia Alvarez  |  Last updated: October 30, 2026</w:t>
      </w:r>
    </w:p>
    <w:p>
      <w:r>
        <w:t>Defines approved brand voice, visual identity rules, and messaging pillars for all external-facing marketing materials.</w:t>
      </w:r>
    </w:p>
    <w:p>
      <w:pPr>
        <w:pStyle w:val="Heading1"/>
      </w:pPr>
      <w:r>
        <w:t>Key Points</w:t>
      </w:r>
    </w:p>
    <w:p>
      <w:pPr>
        <w:pStyle w:val="ListBullet"/>
      </w:pPr>
      <w:r>
        <w:t>Brand voice is direct, confident, and avoids unnecessary jargon.</w:t>
      </w:r>
    </w:p>
    <w:p>
      <w:pPr>
        <w:pStyle w:val="ListBullet"/>
      </w:pPr>
      <w:r>
        <w:t>Primary and secondary logo usage rules are defined with minimum clear space requirements.</w:t>
      </w:r>
    </w:p>
    <w:p>
      <w:pPr>
        <w:pStyle w:val="ListBullet"/>
      </w:pPr>
      <w:r>
        <w:t>Messaging pillars must be referenced in any new campaign brief before launch.</w:t>
      </w:r>
    </w:p>
    <w:p>
      <w:pPr>
        <w:pStyle w:val="ListBullet"/>
      </w:pPr>
      <w:r>
        <w:t>All external materials go through brand review before publishing.</w:t>
      </w:r>
    </w:p>
    <w:p>
      <w:r>
        <w:rPr>
          <w:color w:val="808080"/>
          <w:sz w:val="16"/>
        </w:rPr>
        <w:t>Source: Sales &amp; Marketing Knowledge Hub knowledge base | SharePoint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