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Objection Handling Guide</w:t>
      </w:r>
    </w:p>
    <w:p>
      <w:r>
        <w:rPr>
          <w:i/>
        </w:rPr>
        <w:t>Sales &amp; Marketing Knowledge Hub | Sales Playbooks</w:t>
      </w:r>
    </w:p>
    <w:p>
      <w:r>
        <w:t>Owner: Marcus Lee  |  Last updated: October 30, 2026</w:t>
      </w:r>
    </w:p>
    <w:p>
      <w:r>
        <w:t>Common objections encountered in the sales cycle with recommended response frameworks for each.</w:t>
      </w:r>
    </w:p>
    <w:p>
      <w:pPr>
        <w:pStyle w:val="Heading1"/>
      </w:pPr>
      <w:r>
        <w:t>Key Points</w:t>
      </w:r>
    </w:p>
    <w:p>
      <w:pPr>
        <w:pStyle w:val="ListBullet"/>
      </w:pPr>
      <w:r>
        <w:t>Price objections: reframe around total cost of ownership, not list price alone.</w:t>
      </w:r>
    </w:p>
    <w:p>
      <w:pPr>
        <w:pStyle w:val="ListBullet"/>
      </w:pPr>
      <w:r>
        <w:t>'We already have a solution' objections: ask what's missing in the current tool first.</w:t>
      </w:r>
    </w:p>
    <w:p>
      <w:pPr>
        <w:pStyle w:val="ListBullet"/>
      </w:pPr>
      <w:r>
        <w:t>Timing objections: propose a smaller pilot scope rather than delaying the full deal.</w:t>
      </w:r>
    </w:p>
    <w:p>
      <w:pPr>
        <w:pStyle w:val="ListBullet"/>
      </w:pPr>
      <w:r>
        <w:t>Security objections: route directly to the security questionnaire and compliance team.</w:t>
      </w:r>
    </w:p>
    <w:p>
      <w:r>
        <w:rPr>
          <w:color w:val="808080"/>
          <w:sz w:val="16"/>
        </w:rPr>
        <w:t>Source: Sales &amp; Marketing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