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Proposal and Pricing Template Guide</w:t>
      </w:r>
    </w:p>
    <w:p>
      <w:r>
        <w:rPr>
          <w:i/>
        </w:rPr>
        <w:t>Sales &amp; Marketing Knowledge Hub | Sales Playbooks</w:t>
      </w:r>
    </w:p>
    <w:p>
      <w:r>
        <w:t>Owner: Marcus Lee  |  Last updated: October 30, 2026</w:t>
      </w:r>
    </w:p>
    <w:p>
      <w:r>
        <w:t>Explains how to assemble a standard proposal, when discounting requires deal desk approval, and typical proposal turnaround expectations.</w:t>
      </w:r>
    </w:p>
    <w:p>
      <w:pPr>
        <w:pStyle w:val="Heading1"/>
      </w:pPr>
      <w:r>
        <w:t>Key Points</w:t>
      </w:r>
    </w:p>
    <w:p>
      <w:pPr>
        <w:pStyle w:val="ListBullet"/>
      </w:pPr>
      <w:r>
        <w:t>Standard proposals are generated from the approved template in the deal desk portal.</w:t>
      </w:r>
    </w:p>
    <w:p>
      <w:pPr>
        <w:pStyle w:val="ListBullet"/>
      </w:pPr>
      <w:r>
        <w:t>Discounts above 15% require deal desk approval before the proposal is sent.</w:t>
      </w:r>
    </w:p>
    <w:p>
      <w:pPr>
        <w:pStyle w:val="ListBullet"/>
      </w:pPr>
      <w:r>
        <w:t>Multi-year proposals require finance review for revenue recognition implications.</w:t>
      </w:r>
    </w:p>
    <w:p>
      <w:pPr>
        <w:pStyle w:val="ListBullet"/>
      </w:pPr>
      <w:r>
        <w:t>Target proposal turnaround time is 2 business days from request.</w:t>
      </w:r>
    </w:p>
    <w:p>
      <w:r>
        <w:rPr>
          <w:color w:val="808080"/>
          <w:sz w:val="16"/>
        </w:rPr>
        <w:t>Source: Sales &amp; Marketing Knowledge Hub knowledge base | SharePoint Online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