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Quality Analysis Report 009</w:t>
      </w:r>
    </w:p>
    <w:p>
      <w:r>
        <w:rPr>
          <w:i/>
        </w:rPr>
        <w:t>Generated: 2026-10-21 14:02:47</w:t>
        <w:br/>
      </w:r>
      <w:r>
        <w:rPr>
          <w:b/>
        </w:rPr>
        <w:t>Category: Quality</w:t>
        <w:br/>
      </w:r>
      <w:r>
        <w:rPr>
          <w:color w:val="0000FF"/>
        </w:rPr>
        <w:t>Document ID: SEM-QUA00009</w:t>
      </w:r>
    </w:p>
    <w:p>
      <w:pPr>
        <w:pStyle w:val="Heading1"/>
      </w:pPr>
      <w:r>
        <w:t>Executive Summary</w:t>
      </w:r>
    </w:p>
    <w:p>
      <w:r>
        <w:br/>
        <w:t xml:space="preserve">    This comprehensive report provides an in-depth analysis of Quality operations and performance metrics.</w:t>
        <w:br/>
        <w:t xml:space="preserve">    The document contains detailed findings, statistical analysis, recommendations, and supporting evidence</w:t>
        <w:br/>
        <w:t xml:space="preserve">    compiled from multiple data sources. This report is structured to provide actionable insights for</w:t>
        <w:br/>
        <w:t xml:space="preserve">    decision-makers and operational teams.</w:t>
        <w:br/>
        <w:t xml:space="preserve">    </w:t>
      </w:r>
    </w:p>
    <w:p>
      <w:pPr>
        <w:pStyle w:val="Heading2"/>
      </w:pPr>
      <w:r>
        <w:t>Key Findings</w:t>
      </w:r>
    </w:p>
    <w:p>
      <w:pPr>
        <w:pStyle w:val="ListBullet"/>
      </w:pPr>
      <w:r>
        <w:t>Performance improvement of 25% YoY across all metrics</w:t>
      </w:r>
    </w:p>
    <w:p>
      <w:pPr>
        <w:pStyle w:val="ListBullet"/>
      </w:pPr>
      <w:r>
        <w:t>Identification of three critical process bottlenecks requiring intervention</w:t>
      </w:r>
    </w:p>
    <w:p>
      <w:pPr>
        <w:pStyle w:val="ListBullet"/>
      </w:pPr>
      <w:r>
        <w:t>Cost reduction opportunities totaling $2.5M annually</w:t>
      </w:r>
    </w:p>
    <w:p>
      <w:pPr>
        <w:pStyle w:val="ListBullet"/>
      </w:pPr>
      <w:r>
        <w:t>Risk mitigation strategy recommended for Q3-Q4</w:t>
      </w:r>
    </w:p>
    <w:p>
      <w:pPr>
        <w:pStyle w:val="ListBullet"/>
      </w:pPr>
      <w:r>
        <w:t>Compliance status: 98% adherence to operational standards</w:t>
      </w:r>
    </w:p>
    <w:p>
      <w:pPr>
        <w:pStyle w:val="Heading2"/>
      </w:pPr>
      <w:r>
        <w:t>Performance Metrics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Q3</w:t>
            </w:r>
          </w:p>
        </w:tc>
      </w:tr>
      <w:tr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>85.2%</w:t>
            </w:r>
          </w:p>
        </w:tc>
        <w:tc>
          <w:tcPr>
            <w:tcW w:type="dxa" w:w="2160"/>
          </w:tcPr>
          <w:p>
            <w:r>
              <w:t>87.5%</w:t>
            </w:r>
          </w:p>
        </w:tc>
        <w:tc>
          <w:tcPr>
            <w:tcW w:type="dxa" w:w="2160"/>
          </w:tcPr>
          <w:p>
            <w:r>
              <w:t>89.1%</w:t>
            </w:r>
          </w:p>
        </w:tc>
      </w:tr>
      <w:tr>
        <w:tc>
          <w:tcPr>
            <w:tcW w:type="dxa" w:w="2160"/>
          </w:tcPr>
          <w:p>
            <w:r>
              <w:t>Quality Score</w:t>
            </w:r>
          </w:p>
        </w:tc>
        <w:tc>
          <w:tcPr>
            <w:tcW w:type="dxa" w:w="2160"/>
          </w:tcPr>
          <w:p>
            <w:r>
              <w:t>92.3%</w:t>
            </w:r>
          </w:p>
        </w:tc>
        <w:tc>
          <w:tcPr>
            <w:tcW w:type="dxa" w:w="2160"/>
          </w:tcPr>
          <w:p>
            <w:r>
              <w:t>94.1%</w:t>
            </w:r>
          </w:p>
        </w:tc>
        <w:tc>
          <w:tcPr>
            <w:tcW w:type="dxa" w:w="2160"/>
          </w:tcPr>
          <w:p>
            <w:r>
              <w:t>95.7%</w:t>
            </w:r>
          </w:p>
        </w:tc>
      </w:tr>
      <w:tr>
        <w:tc>
          <w:tcPr>
            <w:tcW w:type="dxa" w:w="2160"/>
          </w:tcPr>
          <w:p>
            <w:r>
              <w:t>Efficiency</w:t>
            </w:r>
          </w:p>
        </w:tc>
        <w:tc>
          <w:tcPr>
            <w:tcW w:type="dxa" w:w="2160"/>
          </w:tcPr>
          <w:p>
            <w:r>
              <w:t>78.5%</w:t>
            </w:r>
          </w:p>
        </w:tc>
        <w:tc>
          <w:tcPr>
            <w:tcW w:type="dxa" w:w="2160"/>
          </w:tcPr>
          <w:p>
            <w:r>
              <w:t>81.2%</w:t>
            </w:r>
          </w:p>
        </w:tc>
        <w:tc>
          <w:tcPr>
            <w:tcW w:type="dxa" w:w="2160"/>
          </w:tcPr>
          <w:p>
            <w:r>
              <w:t>84.3%</w:t>
            </w:r>
          </w:p>
        </w:tc>
      </w:tr>
      <w:tr>
        <w:tc>
          <w:tcPr>
            <w:tcW w:type="dxa" w:w="2160"/>
          </w:tcPr>
          <w:p>
            <w:r>
              <w:t>Cost Index</w:t>
            </w:r>
          </w:p>
        </w:tc>
        <w:tc>
          <w:tcPr>
            <w:tcW w:type="dxa" w:w="2160"/>
          </w:tcPr>
          <w:p>
            <w:r>
              <w:t>98.2</w:t>
            </w:r>
          </w:p>
        </w:tc>
        <w:tc>
          <w:tcPr>
            <w:tcW w:type="dxa" w:w="2160"/>
          </w:tcPr>
          <w:p>
            <w:r>
              <w:t>96.5%</w:t>
            </w:r>
          </w:p>
        </w:tc>
        <w:tc>
          <w:tcPr>
            <w:tcW w:type="dxa" w:w="2160"/>
          </w:tcPr>
          <w:p>
            <w:r>
              <w:t>94.8%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2"/>
      </w:pPr>
      <w:r>
        <w:t>Analytical Diagrams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Detailed Analysis - Section 1</w:t>
      </w:r>
    </w:p>
    <w:p>
      <w:r>
        <w:t>This section provides comprehensive analysis of Quality metrics for subsection 1.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2</w:t>
      </w:r>
    </w:p>
    <w:p>
      <w:r>
        <w:t>This section provides comprehensive analysis of Quality metrics for subsection 2.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3</w:t>
      </w:r>
    </w:p>
    <w:p>
      <w:r>
        <w:t>This section provides comprehensive analysis of Quality metrics for subsection 3.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4</w:t>
      </w:r>
    </w:p>
    <w:p>
      <w:r>
        <w:t>This section provides comprehensive analysis of Quality metrics for subsection 4.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5</w:t>
      </w:r>
    </w:p>
    <w:p>
      <w:r>
        <w:t>This section provides comprehensive analysis of Quality metrics for subsection 5.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6</w:t>
      </w:r>
    </w:p>
    <w:p>
      <w:r>
        <w:t>This section provides comprehensive analysis of Quality metrics for subsection 6.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7</w:t>
      </w:r>
    </w:p>
    <w:p>
      <w:r>
        <w:t>This section provides comprehensive analysis of Quality metrics for subsection 7.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8</w:t>
      </w:r>
    </w:p>
    <w:p>
      <w:r>
        <w:t>This section provides comprehensive analysis of Quality metrics for subsection 8.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1"/>
      </w:pPr>
      <w:r>
        <w:t>Recommendations</w:t>
      </w:r>
    </w:p>
    <w:p>
      <w:pPr>
        <w:pStyle w:val="ListNumber"/>
      </w:pPr>
      <w:r>
        <w:t>R1: Implement advanced analytics dashboard for real-time monitoring</w:t>
      </w:r>
    </w:p>
    <w:p>
      <w:pPr>
        <w:pStyle w:val="ListNumber"/>
      </w:pPr>
      <w:r>
        <w:t>R2: Schedule quarterly review meetings with stakeholder teams</w:t>
      </w:r>
    </w:p>
    <w:p>
      <w:pPr>
        <w:pStyle w:val="ListNumber"/>
      </w:pPr>
      <w:r>
        <w:t>R3: Invest in automation to reduce manual processes by 30%</w:t>
      </w:r>
    </w:p>
    <w:p>
      <w:pPr>
        <w:pStyle w:val="ListNumber"/>
      </w:pPr>
      <w:r>
        <w:t>R4: Establish KPI tracking system with automated alerts</w:t>
      </w:r>
    </w:p>
    <w:p>
      <w:pPr>
        <w:pStyle w:val="ListNumber"/>
      </w:pPr>
      <w:r>
        <w:t>R5: Conduct staff training programs on new procedures</w:t>
      </w:r>
    </w:p>
    <w:p>
      <w:r>
        <w:br w:type="page"/>
      </w:r>
    </w:p>
    <w:p>
      <w:pPr>
        <w:pStyle w:val="Heading1"/>
      </w:pPr>
      <w:r>
        <w:t>Appendix: Data Dictionary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KPI</w:t>
            </w:r>
          </w:p>
        </w:tc>
        <w:tc>
          <w:tcPr>
            <w:tcW w:type="dxa" w:w="4320"/>
          </w:tcPr>
          <w:p>
            <w:r>
              <w:t>Key Performance Indicator</w:t>
            </w:r>
          </w:p>
        </w:tc>
      </w:tr>
      <w:tr>
        <w:tc>
          <w:tcPr>
            <w:tcW w:type="dxa" w:w="4320"/>
          </w:tcPr>
          <w:p>
            <w:r>
              <w:t>QA</w:t>
            </w:r>
          </w:p>
        </w:tc>
        <w:tc>
          <w:tcPr>
            <w:tcW w:type="dxa" w:w="4320"/>
          </w:tcPr>
          <w:p>
            <w:r>
              <w:t>Quality Assurance</w:t>
            </w:r>
          </w:p>
        </w:tc>
      </w:tr>
      <w:tr>
        <w:tc>
          <w:tcPr>
            <w:tcW w:type="dxa" w:w="4320"/>
          </w:tcPr>
          <w:p>
            <w:r>
              <w:t>ROI</w:t>
            </w:r>
          </w:p>
        </w:tc>
        <w:tc>
          <w:tcPr>
            <w:tcW w:type="dxa" w:w="4320"/>
          </w:tcPr>
          <w:p>
            <w:r>
              <w:t>Return on Investment</w:t>
            </w:r>
          </w:p>
        </w:tc>
      </w:tr>
      <w:tr>
        <w:tc>
          <w:tcPr>
            <w:tcW w:type="dxa" w:w="4320"/>
          </w:tcPr>
          <w:p>
            <w:r>
              <w:t>SLA</w:t>
            </w:r>
          </w:p>
        </w:tc>
        <w:tc>
          <w:tcPr>
            <w:tcW w:type="dxa" w:w="4320"/>
          </w:tcPr>
          <w:p>
            <w:r>
              <w:t>Service Level Agreement</w:t>
            </w:r>
          </w:p>
        </w:tc>
      </w:tr>
      <w:tr>
        <w:tc>
          <w:tcPr>
            <w:tcW w:type="dxa" w:w="4320"/>
          </w:tcPr>
          <w:p>
            <w:r>
              <w:t>YoY</w:t>
            </w:r>
          </w:p>
        </w:tc>
        <w:tc>
          <w:tcPr>
            <w:tcW w:type="dxa" w:w="4320"/>
          </w:tcPr>
          <w:p>
            <w:r>
              <w:t>Year over Year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