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Diversity, Equity, and Inclusion Policy</w:t>
      </w:r>
    </w:p>
    <w:p>
      <w:r>
        <w:rPr>
          <w:i/>
        </w:rPr>
        <w:t>HR Knowledge Hub | HR Policies | Owner: Maria Chen  |  Last updated: October 30, 2026</w:t>
      </w:r>
    </w:p>
    <w:p>
      <w:pPr>
        <w:pStyle w:val="Heading1"/>
      </w:pPr>
      <w:r>
        <w:t>Section 1: Executive Summary &amp; Scope</w:t>
      </w:r>
    </w:p>
    <w:p>
      <w:r>
        <w:t>Outlines the company's commitments to equitable hiring, pay equity reviews, and employee resource groups. Section 1 (Executive Summary &amp; Scope) applies to HR Policies within HR Knowledge Hub and is maintained by Maria Chen. Defines the operational charter, scope boundaries, and executive accountability.</w:t>
      </w:r>
    </w:p>
    <w:p>
      <w:r>
        <w:t>Operational requirement 1.1: Hiring panels must include at least one member from outside the hiring manager's team. Secondary control 1.2: Pay equity analysis is run twice yearly across all job families.</w:t>
      </w:r>
    </w:p>
    <w:p>
      <w:pPr>
        <w:pStyle w:val="ListBullet"/>
      </w:pPr>
      <w:r>
        <w:t>Hiring panels must include at least one member from outside the hiring manager's team.</w:t>
      </w:r>
    </w:p>
    <w:p>
      <w:pPr>
        <w:pStyle w:val="ListBullet"/>
      </w:pPr>
      <w:r>
        <w:t>Pay equity analysis is run twice yearly across all job families.</w:t>
      </w:r>
    </w:p>
    <w:p>
      <w:pPr>
        <w:pStyle w:val="ListBullet"/>
      </w:pPr>
      <w:r>
        <w:t>Section 1 review cadence is tracked by Maria Chen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Diversity, Equity, and Inclu Gate 1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Diversity, Equity, and Inclu Gate 2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</w:tbl>
    <w:p>
      <w:r>
        <w:rPr>
          <w:color w:val="808080"/>
          <w:sz w:val="16"/>
        </w:rPr>
        <w:t>Page 1 of 4 | HR Knowledge Hub | HR Policies | SharePoint Online</w:t>
      </w:r>
    </w:p>
    <w:p>
      <w:r>
        <w:br w:type="page"/>
      </w:r>
    </w:p>
    <w:p>
      <w:pPr>
        <w:pStyle w:val="Heading1"/>
      </w:pPr>
      <w:r>
        <w:t>Section 2: Architecture &amp; Process Flow</w:t>
      </w:r>
    </w:p>
    <w:p>
      <w:r>
        <w:t>Outlines the company's commitments to equitable hiring, pay equity reviews, and employee resource groups. Section 2 (Architecture &amp; Process Flow) applies to HR Policies within HR Knowledge Hub and is maintained by Maria Chen. Maps end-to-end process stages, handoff gates, and system-of-record integrations.</w:t>
      </w:r>
    </w:p>
    <w:p>
      <w:r>
        <w:t>Operational requirement 2.1: Pay equity analysis is run twice yearly across all job families. Secondary control 2.2: Four employee resource groups are funded with an annual budget and executive sponsor.</w:t>
      </w:r>
    </w:p>
    <w:p>
      <w:pPr>
        <w:pStyle w:val="ListBullet"/>
      </w:pPr>
      <w:r>
        <w:t>Pay equity analysis is run twice yearly across all job families.</w:t>
      </w:r>
    </w:p>
    <w:p>
      <w:pPr>
        <w:pStyle w:val="ListBullet"/>
      </w:pPr>
      <w:r>
        <w:t>Four employee resource groups are funded with an annual budget and executive sponsor.</w:t>
      </w:r>
    </w:p>
    <w:p>
      <w:pPr>
        <w:pStyle w:val="ListBullet"/>
      </w:pPr>
      <w:r>
        <w:t>Section 2 review cadence is tracked by Maria Chen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Diversity, Equity, and Inclu Gate 1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Diversity, Equity, and Inclu Gate 2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Sec-2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Stage 2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2 of 4 | HR Knowledge Hub | HR Policies | SharePoint Online</w:t>
      </w:r>
    </w:p>
    <w:p>
      <w:r>
        <w:br w:type="page"/>
      </w:r>
    </w:p>
    <w:p>
      <w:pPr>
        <w:pStyle w:val="Heading1"/>
      </w:pPr>
      <w:r>
        <w:t>Section 3: Governance Standards &amp; Controls</w:t>
      </w:r>
    </w:p>
    <w:p>
      <w:r>
        <w:t>Outlines the company's commitments to equitable hiring, pay equity reviews, and employee resource groups. Section 3 (Governance Standards &amp; Controls) applies to HR Policies within HR Knowledge Hub and is maintained by Maria Chen. Establishes mandatory compliance controls, approval thresholds, and audit evidence.</w:t>
      </w:r>
    </w:p>
    <w:p>
      <w:r>
        <w:t>Operational requirement 3.1: Four employee resource groups are funded with an annual budget and executive sponsor. Secondary control 3.2: DEI progress is reported to the leadership team each quarter.</w:t>
      </w:r>
    </w:p>
    <w:p>
      <w:pPr>
        <w:pStyle w:val="ListBullet"/>
      </w:pPr>
      <w:r>
        <w:t>Four employee resource groups are funded with an annual budget and executive sponsor.</w:t>
      </w:r>
    </w:p>
    <w:p>
      <w:pPr>
        <w:pStyle w:val="ListBullet"/>
      </w:pPr>
      <w:r>
        <w:t>DEI progress is reported to the leadership team each quarter.</w:t>
      </w:r>
    </w:p>
    <w:p>
      <w:pPr>
        <w:pStyle w:val="ListBullet"/>
      </w:pPr>
      <w:r>
        <w:t>Section 3 review cadence is tracked by Maria Chen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Diversity, Equity, and Inclu Gate 1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Diversity, Equity, and Inclu Gate 2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Sec-3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Stage 3 Verified</w:t>
            </w:r>
          </w:p>
        </w:tc>
      </w:tr>
    </w:tbl>
    <w:p>
      <w:r>
        <w:rPr>
          <w:color w:val="808080"/>
          <w:sz w:val="16"/>
        </w:rPr>
        <w:t>Page 3 of 4 | HR Knowledge Hub | HR Policies | SharePoint Online</w:t>
      </w:r>
    </w:p>
    <w:p>
      <w:r>
        <w:br w:type="page"/>
      </w:r>
    </w:p>
    <w:p>
      <w:pPr>
        <w:pStyle w:val="Heading1"/>
      </w:pPr>
      <w:r>
        <w:t>Section 4: Appendix, Lineage &amp; Sign-off</w:t>
      </w:r>
    </w:p>
    <w:p>
      <w:r>
        <w:t>Outlines the company's commitments to equitable hiring, pay equity reviews, and employee resource groups. Section 4 (Appendix, Lineage &amp; Sign-off) applies to HR Policies within HR Knowledge Hub and is maintained by Maria Chen. Records document lineage, governance metadata, version history, and owner sign-off.</w:t>
      </w:r>
    </w:p>
    <w:p>
      <w:r>
        <w:t>Operational requirement 4.1: DEI progress is reported to the leadership team each quarter. Secondary control 4.2: Hiring panels must include at least one member from outside the hiring manager's team.</w:t>
      </w:r>
    </w:p>
    <w:p>
      <w:pPr>
        <w:pStyle w:val="ListBullet"/>
      </w:pPr>
      <w:r>
        <w:t>DEI progress is reported to the leadership team each quarter.</w:t>
      </w:r>
    </w:p>
    <w:p>
      <w:pPr>
        <w:pStyle w:val="ListBullet"/>
      </w:pPr>
      <w:r>
        <w:t>Hiring panels must include at least one member from outside the hiring manager's team.</w:t>
      </w:r>
    </w:p>
    <w:p>
      <w:pPr>
        <w:pStyle w:val="ListBullet"/>
      </w:pPr>
      <w:r>
        <w:t>Section 4 review cadence is tracked by Maria Chen under HR Policies governance.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Control 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Target SLA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2160"/>
          </w:tcPr>
          <w:p>
            <w:r>
              <w:t>HR Policies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</w:tr>
      <w:tr>
        <w:tc>
          <w:tcPr>
            <w:tcW w:type="dxa" w:w="2160"/>
          </w:tcPr>
          <w:p>
            <w:r>
              <w:t>Diversity, Equity, and Inclu Gate 1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3 business days</w:t>
            </w:r>
          </w:p>
        </w:tc>
        <w:tc>
          <w:tcPr>
            <w:tcW w:type="dxa" w:w="2160"/>
          </w:tcPr>
          <w:p>
            <w:r>
              <w:t>Active</w:t>
            </w:r>
          </w:p>
        </w:tc>
      </w:tr>
      <w:tr>
        <w:tc>
          <w:tcPr>
            <w:tcW w:type="dxa" w:w="2160"/>
          </w:tcPr>
          <w:p>
            <w:r>
              <w:t>Diversity, Equity, and Inclu Gate 2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10 business days</w:t>
            </w:r>
          </w:p>
        </w:tc>
        <w:tc>
          <w:tcPr>
            <w:tcW w:type="dxa" w:w="2160"/>
          </w:tcPr>
          <w:p>
            <w:r>
              <w:t>Monitored</w:t>
            </w:r>
          </w:p>
        </w:tc>
      </w:tr>
      <w:tr>
        <w:tc>
          <w:tcPr>
            <w:tcW w:type="dxa" w:w="2160"/>
          </w:tcPr>
          <w:p>
            <w:r>
              <w:t>Sec-4</w:t>
            </w:r>
          </w:p>
        </w:tc>
        <w:tc>
          <w:tcPr>
            <w:tcW w:type="dxa" w:w="2160"/>
          </w:tcPr>
          <w:p>
            <w:r>
              <w:t>Maria Chen</w:t>
            </w:r>
          </w:p>
        </w:tc>
        <w:tc>
          <w:tcPr>
            <w:tcW w:type="dxa" w:w="2160"/>
          </w:tcPr>
          <w:p>
            <w:r>
              <w:t>5 business days</w:t>
            </w:r>
          </w:p>
        </w:tc>
        <w:tc>
          <w:tcPr>
            <w:tcW w:type="dxa" w:w="2160"/>
          </w:tcPr>
          <w:p>
            <w:r>
              <w:t>Stage 4 Verified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303520" cy="17445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44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808080"/>
          <w:sz w:val="16"/>
        </w:rPr>
        <w:t>Page 4 of 4 | HR Knowledge Hub | HR Policies | SharePoint Online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