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Operations Runbook</w:t>
      </w:r>
    </w:p>
    <w:p>
      <w:r>
        <w:rPr>
          <w:i/>
          <w:color w:val="667085"/>
        </w:rPr>
        <w:t>Fleet Inspection And Maintenance · Generated by the Agentic SDLC Factory on October 03, 2026</w:t>
      </w:r>
    </w:p>
    <w:p>
      <w:pPr>
        <w:pStyle w:val="Heading1"/>
      </w:pPr>
      <w:r>
        <w:t>Ops Monitoring Agent — Operate-Stage Proposal</w:t>
      </w:r>
    </w:p>
    <w:p>
      <w:r>
        <w:rPr>
          <w:b/>
        </w:rPr>
        <w:t>Project:</w:t>
      </w:r>
      <w:r>
        <w:t xml:space="preserve"> Fleet Inspection And Maintenance </w:t>
      </w:r>
      <w:r>
        <w:rPr>
          <w:b/>
        </w:rPr>
        <w:t>Target environment:</w:t>
      </w:r>
      <w:r>
        <w:t xml:space="preserve"> Dev </w:t>
      </w:r>
      <w:r>
        <w:rPr>
          <w:b/>
        </w:rPr>
        <w:t>Status:</w:t>
      </w:r>
      <w:r>
        <w:t xml:space="preserve"> Proposed for human review; no changes performed </w:t>
      </w:r>
      <w:r>
        <w:rPr>
          <w:b/>
        </w:rPr>
        <w:t>Date:</w:t>
      </w:r>
      <w:r>
        <w:t xml:space="preserve"> 03 October 2026</w:t>
      </w:r>
    </w:p>
    <w:p>
      <w:pPr>
        <w:pStyle w:val="Heading1"/>
      </w:pPr>
      <w:r>
        <w:t>1. Evidence reviewed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r/>
            <w:r>
              <w:t>Requirements intake</w:t>
            </w:r>
          </w:p>
        </w:tc>
        <w:tc>
          <w:tcPr>
            <w:tcW w:type="dxa" w:w="4320"/>
          </w:tcPr>
          <w:p>
            <w:r/>
            <w:r>
              <w:t>Defines outcome metrics for critical-defect grounding, defect-to-workshop-job time, inspection-evidence completeness, and usage-based service compliance.</w:t>
            </w:r>
          </w:p>
        </w:tc>
      </w:tr>
      <w:tr>
        <w:tc>
          <w:tcPr>
            <w:tcW w:type="dxa" w:w="4320"/>
          </w:tcPr>
          <w:p>
            <w:r/>
            <w:r>
              <w:t>Technical requirements intake</w:t>
            </w:r>
          </w:p>
        </w:tc>
        <w:tc>
          <w:tcPr>
            <w:tcW w:type="dxa" w:w="4320"/>
          </w:tcPr>
          <w:p>
            <w:r/>
            <w:r>
              <w:t>Specifies Azure App Service hosting, Azure SQL and Blob evidence storage, external grounding and notification integrations, offline sync, and a Foundry workflow through APIM. It also defines integration failure behavior and time limits.</w:t>
            </w:r>
          </w:p>
        </w:tc>
      </w:tr>
      <w:tr>
        <w:tc>
          <w:tcPr>
            <w:tcW w:type="dxa" w:w="4320"/>
          </w:tcPr>
          <w:p>
            <w:r/>
            <w:r>
              <w:t>UX intake</w:t>
            </w:r>
          </w:p>
        </w:tc>
        <w:tc>
          <w:tcPr>
            <w:tcW w:type="dxa" w:w="4320"/>
          </w:tcPr>
          <w:p>
            <w:r/>
            <w:r>
              <w:t>Requires persistent, unambiguous grounding state; notification-status visibility; and offline queued/submitted/grounded states.</w:t>
            </w:r>
          </w:p>
        </w:tc>
      </w:tr>
      <w:tr>
        <w:tc>
          <w:tcPr>
            <w:tcW w:type="dxa" w:w="4320"/>
          </w:tcPr>
          <w:p>
            <w:r/>
            <w:r>
              <w:t>Azure Resource Manager (read-only)</w:t>
            </w:r>
          </w:p>
        </w:tc>
        <w:tc>
          <w:tcPr>
            <w:tcW w:type="dxa" w:w="4320"/>
          </w:tcPr>
          <w:p>
            <w:r/>
            <w:r>
              <w:t xml:space="preserve">Target resource group exists: </w:t>
            </w:r>
            <w:r>
              <w:rPr>
                <w:rFonts w:ascii="Consolas" w:hAnsi="Consolas"/>
                <w:color w:val="1F2937"/>
              </w:rPr>
              <w:t>ai-myaacoub</w:t>
            </w:r>
            <w:r>
              <w:t xml:space="preserve">, location </w:t>
            </w:r>
            <w:r>
              <w:rPr>
                <w:rFonts w:ascii="Consolas" w:hAnsi="Consolas"/>
                <w:color w:val="1F2937"/>
              </w:rPr>
              <w:t>westus</w:t>
            </w:r>
            <w:r>
              <w:t xml:space="preserve">, provisioning state </w:t>
            </w:r>
            <w:r>
              <w:rPr>
                <w:rFonts w:ascii="Consolas" w:hAnsi="Consolas"/>
                <w:color w:val="1F2937"/>
              </w:rPr>
              <w:t>Succeeded</w:t>
            </w:r>
            <w:r>
              <w:t>. No web app or deployment was queried because no application resource name was supplied in the project context.</w:t>
            </w:r>
          </w:p>
        </w:tc>
      </w:tr>
    </w:tbl>
    <w:p/>
    <w:p>
      <w:r>
        <w:rPr>
          <w:b/>
        </w:rPr>
        <w:t>Source qualification:</w:t>
      </w:r>
      <w:r>
        <w:t xml:space="preserve"> The intake documents are marked </w:t>
      </w:r>
      <w:r>
        <w:rPr>
          <w:b/>
        </w:rPr>
        <w:t>Draft</w:t>
      </w:r>
      <w:r>
        <w:t>. The requirements and technical-requirements extracts are truncated, and no approved architecture, deployment, or runbook artifact was provided. This proposal is therefore a candidate operational baseline, not confirmation that the described resources already exist.</w:t>
      </w:r>
    </w:p>
    <w:p>
      <w:pPr>
        <w:pStyle w:val="Heading1"/>
      </w:pPr>
      <w:r>
        <w:t>2. Operating objective</w:t>
      </w:r>
    </w:p>
    <w:p>
      <w:r>
        <w:t>Detect, triage, and evidence failures that could cause:</w:t>
      </w:r>
    </w:p>
    <w:p>
      <w:pPr>
        <w:pStyle w:val="ListNumber"/>
      </w:pPr>
      <w:r>
        <w:t>a critical defect not to ground a vehicle;</w:t>
      </w:r>
    </w:p>
    <w:p>
      <w:pPr>
        <w:pStyle w:val="ListNumber"/>
      </w:pPr>
      <w:r>
        <w:t>a grounded vehicle to be treated as safe to drive;</w:t>
      </w:r>
    </w:p>
    <w:p>
      <w:pPr>
        <w:pStyle w:val="ListNumber"/>
      </w:pPr>
      <w:r>
        <w:t>inspection evidence to be lost, altered, or not synchronized;</w:t>
      </w:r>
    </w:p>
    <w:p>
      <w:pPr>
        <w:pStyle w:val="ListNumber"/>
      </w:pPr>
      <w:r>
        <w:t>a workshop or duty-manager notification to miss its required escalation window;</w:t>
      </w:r>
    </w:p>
    <w:p>
      <w:pPr>
        <w:pStyle w:val="ListNumber"/>
      </w:pPr>
      <w:r>
        <w:t>service-plan, repair-release, or compliance-evidence processing to be incomplete.</w:t>
      </w:r>
    </w:p>
    <w:p>
      <w:r>
        <w:t>Safety- and evidence-affecting signals take priority over availability or performance signals.</w:t>
      </w:r>
    </w:p>
    <w:p>
      <w:pPr>
        <w:pStyle w:val="Heading1"/>
      </w:pPr>
      <w:r>
        <w:t>3. Proposed observability design</w:t>
      </w:r>
    </w:p>
    <w:p>
      <w:pPr>
        <w:pStyle w:val="Heading2"/>
      </w:pPr>
      <w:r>
        <w:t>3.1 Telemetry scope</w:t>
      </w:r>
    </w:p>
    <w:p>
      <w:r>
        <w:t>Instrument the Ionic/Angular client, FastAPI inspection service, grounding adapter, notification dispatcher, service-plan calculator, classification workflow, SQL data access, evidence-storage operations, APIM model route, and all external integration clients.</w:t>
      </w:r>
    </w:p>
    <w:p>
      <w:r>
        <w:t>All telemetry should carry a generated correlation identifier propagated across client submission, API processing, database transaction, evidence persistence, grounding attempts, notification attempts, workshop-job creation, and retry processing.</w:t>
      </w:r>
    </w:p>
    <w:p>
      <w:r>
        <w:t xml:space="preserve">Use only operational identifiers and minimized/pseudonymized actor identifiers in telemetry. Do </w:t>
      </w:r>
      <w:r>
        <w:rPr>
          <w:b/>
        </w:rPr>
        <w:t>not</w:t>
      </w:r>
      <w:r>
        <w:t xml:space="preserve"> log photographs, free-text defect descriptions, access tokens, authorization headers, personal contact details, or other secrets.</w:t>
      </w:r>
    </w:p>
    <w:p>
      <w:pPr>
        <w:pStyle w:val="Heading2"/>
      </w:pPr>
      <w:r>
        <w:t>3.2 Required event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events and dimensions</w:t>
            </w:r>
          </w:p>
        </w:tc>
      </w:tr>
      <w:tr>
        <w:tc>
          <w:tcPr>
            <w:tcW w:type="dxa" w:w="4320"/>
          </w:tcPr>
          <w:p>
            <w:r/>
            <w:r>
              <w:t>Inspection lifecycle</w:t>
            </w:r>
          </w:p>
        </w:tc>
        <w:tc>
          <w:tcPr>
            <w:tcW w:type="dxa" w:w="4320"/>
          </w:tcPr>
          <w:p>
            <w:r/>
            <w:r>
              <w:t>inspection started, locally queued, synchronization started, synchronization succeeded/failed, submitted, immutable record committed; include inspection ID, vehicle reference, checklist version, capture time, online/offline state, and result.</w:t>
            </w:r>
          </w:p>
        </w:tc>
      </w:tr>
      <w:tr>
        <w:tc>
          <w:tcPr>
            <w:tcW w:type="dxa" w:w="4320"/>
          </w:tcPr>
          <w:p>
            <w:r/>
            <w:r>
              <w:t>Grounding safety path</w:t>
            </w:r>
          </w:p>
        </w:tc>
        <w:tc>
          <w:tcPr>
            <w:tcW w:type="dxa" w:w="4320"/>
          </w:tcPr>
          <w:p>
            <w:r/>
            <w:r>
              <w:t>critical defect identified, grounding transaction committed, external fleet-status request attempted/succeeded/failed, retry scheduled, manually resolved, release recorded; include grounding-event ID, defect severity, state transition, idempotency outcome, dependency result, and correlation ID.</w:t>
            </w:r>
          </w:p>
        </w:tc>
      </w:tr>
      <w:tr>
        <w:tc>
          <w:tcPr>
            <w:tcW w:type="dxa" w:w="4320"/>
          </w:tcPr>
          <w:p>
            <w:r/>
            <w:r>
              <w:t>Driver safety gate</w:t>
            </w:r>
          </w:p>
        </w:tc>
        <w:tc>
          <w:tcPr>
            <w:tcW w:type="dxa" w:w="4320"/>
          </w:tcPr>
          <w:p>
            <w:r/>
            <w:r>
              <w:t>trip-start decision allowed/denied and reason; never include unnecessary driver data.</w:t>
            </w:r>
          </w:p>
        </w:tc>
      </w:tr>
      <w:tr>
        <w:tc>
          <w:tcPr>
            <w:tcW w:type="dxa" w:w="4320"/>
          </w:tcPr>
          <w:p>
            <w:r/>
            <w:r>
              <w:t>Notification path</w:t>
            </w:r>
          </w:p>
        </w:tc>
        <w:tc>
          <w:tcPr>
            <w:tcW w:type="dxa" w:w="4320"/>
          </w:tcPr>
          <w:p>
            <w:r/>
            <w:r>
              <w:t>notification requested, recipient role, channel attempt, success/failure, fallback initiated, escalation initiated/completed; include notification ID, grounding-event ID, elapsed time, and failure category.</w:t>
            </w:r>
          </w:p>
        </w:tc>
      </w:tr>
      <w:tr>
        <w:tc>
          <w:tcPr>
            <w:tcW w:type="dxa" w:w="4320"/>
          </w:tcPr>
          <w:p>
            <w:r/>
            <w:r>
              <w:t>Workshop flow</w:t>
            </w:r>
          </w:p>
        </w:tc>
        <w:tc>
          <w:tcPr>
            <w:tcW w:type="dxa" w:w="4320"/>
          </w:tcPr>
          <w:p>
            <w:r/>
            <w:r>
              <w:t>job creation requested/succeeded/failed, repair recorded, release awaiting approval, release approved/rejected.</w:t>
            </w:r>
          </w:p>
        </w:tc>
      </w:tr>
      <w:tr>
        <w:tc>
          <w:tcPr>
            <w:tcW w:type="dxa" w:w="4320"/>
          </w:tcPr>
          <w:p>
            <w:r/>
            <w:r>
              <w:t>Evidence</w:t>
            </w:r>
          </w:p>
        </w:tc>
        <w:tc>
          <w:tcPr>
            <w:tcW w:type="dxa" w:w="4320"/>
          </w:tcPr>
          <w:p>
            <w:r/>
            <w:r>
              <w:t>photograph upload initiated/completed/failed, evidence reference committed, immutability/retention-policy verification result. Do not capture image content in logs.</w:t>
            </w:r>
          </w:p>
        </w:tc>
      </w:tr>
      <w:tr>
        <w:tc>
          <w:tcPr>
            <w:tcW w:type="dxa" w:w="4320"/>
          </w:tcPr>
          <w:p>
            <w:r/>
            <w:r>
              <w:t>Offline operation</w:t>
            </w:r>
          </w:p>
        </w:tc>
        <w:tc>
          <w:tcPr>
            <w:tcW w:type="dxa" w:w="4320"/>
          </w:tcPr>
          <w:p>
            <w:r/>
            <w:r>
              <w:t>queue depth, oldest queued capture age, client synchronization failures by category, conflict/reconciliation outcome.</w:t>
            </w:r>
          </w:p>
        </w:tc>
      </w:tr>
      <w:tr>
        <w:tc>
          <w:tcPr>
            <w:tcW w:type="dxa" w:w="4320"/>
          </w:tcPr>
          <w:p>
            <w:r/>
            <w:r>
              <w:t>Dependencies</w:t>
            </w:r>
          </w:p>
        </w:tc>
        <w:tc>
          <w:tcPr>
            <w:tcW w:type="dxa" w:w="4320"/>
          </w:tcPr>
          <w:p>
            <w:r/>
            <w:r>
              <w:t>fleet-status API, telematics feed, Graph/Teams, Blob storage, SQL, APIM, and Foundry: dependency availability, latency, timeout, retry count, and result class.</w:t>
            </w:r>
          </w:p>
        </w:tc>
      </w:tr>
      <w:tr>
        <w:tc>
          <w:tcPr>
            <w:tcW w:type="dxa" w:w="4320"/>
          </w:tcPr>
          <w:p>
            <w:r/>
            <w:r>
              <w:t>Agent workflow</w:t>
            </w:r>
          </w:p>
        </w:tc>
        <w:tc>
          <w:tcPr>
            <w:tcW w:type="dxa" w:w="4320"/>
          </w:tcPr>
          <w:p>
            <w:r/>
            <w:r>
              <w:t>classification requested/completed/failed, APIM route result, controller-review pending/approved/rejected. Model prompts, responses, and sensitive defect text are excluded from standard telemetry.</w:t>
            </w:r>
          </w:p>
        </w:tc>
      </w:tr>
    </w:tbl>
    <w:p/>
    <w:p>
      <w:pPr>
        <w:pStyle w:val="Heading2"/>
      </w:pPr>
      <w:r>
        <w:t>3.3 Operational data destinations</w:t>
      </w:r>
    </w:p>
    <w:p>
      <w:r>
        <w:t xml:space="preserve">Provision through the approved deployment process, with resource names, retention periods, sampling rates, alert thresholds, receiver groups, feature toggles, and dependency endpoints defined under the repository </w:t>
      </w:r>
      <w:r>
        <w:rPr>
          <w:rFonts w:ascii="Consolas" w:hAnsi="Consolas"/>
          <w:color w:val="1F2937"/>
        </w:rPr>
        <w:t>config/</w:t>
      </w:r>
      <w:r>
        <w:t xml:space="preserve"> folder and read at runtime.</w:t>
      </w:r>
    </w:p>
    <w:p>
      <w:r>
        <w:t>Proposed destinations:</w:t>
      </w:r>
    </w:p>
    <w:p>
      <w:pPr>
        <w:pStyle w:val="ListBullet"/>
      </w:pPr>
      <w:r>
        <w:t>Application Insights / Azure Monitor for application traces, metrics, availability, dependency telemetry, dashboards, and alerting.</w:t>
      </w:r>
    </w:p>
    <w:p>
      <w:pPr>
        <w:pStyle w:val="ListBullet"/>
      </w:pPr>
      <w:r>
        <w:t>Log Analytics workspace for centralized query, retention, and incident investigation.</w:t>
      </w:r>
    </w:p>
    <w:p>
      <w:pPr>
        <w:pStyle w:val="ListBullet"/>
      </w:pPr>
      <w:r>
        <w:t>Immutable evidence storage remains the system of record for photographs and inspection evidence; monitoring only records safe evidence references and operation outcomes.</w:t>
      </w:r>
    </w:p>
    <w:p>
      <w:pPr>
        <w:pStyle w:val="ListBullet"/>
      </w:pPr>
      <w:r>
        <w:t>Azure Monitor action groups or the project-approved incident route for duty-manager and engineering notifications. Recipient routing must be configuration-driven and secret-free.</w:t>
      </w:r>
    </w:p>
    <w:p>
      <w:pPr>
        <w:pStyle w:val="Heading1"/>
      </w:pPr>
      <w:r>
        <w:t>4. Proposed service indicators and alerts</w:t>
      </w:r>
    </w:p>
    <w:p>
      <w:r>
        <w:t>Thresholds should be stored as environment-specific, reviewable configuration values. The initial values below are derived from intake commitments where available.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Signal /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Proposed alert and required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P1 — Safety</w:t>
            </w:r>
          </w:p>
        </w:tc>
        <w:tc>
          <w:tcPr>
            <w:tcW w:type="dxa" w:w="2880"/>
          </w:tcPr>
          <w:p>
            <w:r/>
            <w:r>
              <w:t>A critical-defect submission is committed but authoritative fleet-status grounding is not confirmed.</w:t>
            </w:r>
          </w:p>
        </w:tc>
        <w:tc>
          <w:tcPr>
            <w:tcW w:type="dxa" w:w="2880"/>
          </w:tcPr>
          <w:p>
            <w:r/>
            <w:r>
              <w:t>Immediate incident. Verify the driver-facing do-not-drive state, retry/idempotency state, fleet-status dependency result, and duty-manager escalation. Continue until authoritative grounding or recorded manual resolution.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P1 — Safety</w:t>
            </w:r>
          </w:p>
        </w:tc>
        <w:tc>
          <w:tcPr>
            <w:tcW w:type="dxa" w:w="2880"/>
          </w:tcPr>
          <w:p>
            <w:r/>
            <w:r>
              <w:t>A trip-start request is allowed for a vehicle with an active grounding state.</w:t>
            </w:r>
          </w:p>
        </w:tc>
        <w:tc>
          <w:tcPr>
            <w:tcW w:type="dxa" w:w="2880"/>
          </w:tcPr>
          <w:p>
            <w:r/>
            <w:r>
              <w:t>Immediate incident. Preserve audit evidence, block further unsafe starts where technically possible, and investigate state-consistency failure.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P1 — Safety</w:t>
            </w:r>
          </w:p>
        </w:tc>
        <w:tc>
          <w:tcPr>
            <w:tcW w:type="dxa" w:w="2880"/>
          </w:tcPr>
          <w:p>
            <w:r/>
            <w:r>
              <w:t>Grounding integration failure does not produce a duty-manager alert within the requirements-defined 60-second window.</w:t>
            </w:r>
          </w:p>
        </w:tc>
        <w:tc>
          <w:tcPr>
            <w:tcW w:type="dxa" w:w="2880"/>
          </w:tcPr>
          <w:p>
            <w:r/>
            <w:r>
              <w:t>Immediate incident. Validate retry worker, escalation route, and notification delivery evidence.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P1 — Evidence</w:t>
            </w:r>
          </w:p>
        </w:tc>
        <w:tc>
          <w:tcPr>
            <w:tcW w:type="dxa" w:w="2880"/>
          </w:tcPr>
          <w:p>
            <w:r/>
            <w:r>
              <w:t>Submitted inspection cannot be committed immutably, required evidence cannot be associated, or storage immutability verification fails.</w:t>
            </w:r>
          </w:p>
        </w:tc>
        <w:tc>
          <w:tcPr>
            <w:tcW w:type="dxa" w:w="2880"/>
          </w:tcPr>
          <w:p>
            <w:r/>
            <w:r>
              <w:t>Immediate incident. Prevent false “submitted” confirmation, retain local capture where available, and investigate storage/database integrity.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P2 — Notification</w:t>
            </w:r>
          </w:p>
        </w:tc>
        <w:tc>
          <w:tcPr>
            <w:tcW w:type="dxa" w:w="2880"/>
          </w:tcPr>
          <w:p>
            <w:r/>
            <w:r>
              <w:t>Critical-defect notification is not delivered through any configured channel within the requirements-defined five-minute window.</w:t>
            </w:r>
          </w:p>
        </w:tc>
        <w:tc>
          <w:tcPr>
            <w:tcW w:type="dxa" w:w="2880"/>
          </w:tcPr>
          <w:p>
            <w:r/>
            <w:r>
              <w:t>Urgent incident. Confirm fallback progression and duty-manager paging; record all attempted channels and outcomes.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P2 — Offline sync</w:t>
            </w:r>
          </w:p>
        </w:tc>
        <w:tc>
          <w:tcPr>
            <w:tcW w:type="dxa" w:w="2880"/>
          </w:tcPr>
          <w:p>
            <w:r/>
            <w:r>
              <w:t>Offline inspection age exceeds the approved synchronization objective after connectivity returns, or synchronization failure rate breaches the configured threshold.</w:t>
            </w:r>
          </w:p>
        </w:tc>
        <w:tc>
          <w:tcPr>
            <w:tcW w:type="dxa" w:w="2880"/>
          </w:tcPr>
          <w:p>
            <w:r/>
            <w:r>
              <w:t>Investigate client queue, API availability, authentication, payload validation, and reconciliation path. The requirements specify synchronization within five minutes of reconnection.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P2 — Integration</w:t>
            </w:r>
          </w:p>
        </w:tc>
        <w:tc>
          <w:tcPr>
            <w:tcW w:type="dxa" w:w="2880"/>
          </w:tcPr>
          <w:p>
            <w:r/>
            <w:r>
              <w:t>Fleet-status API, Graph/Teams, Blob storage, SQL, or APIM dependency errors/latency breach configured availability or timeout objectives.</w:t>
            </w:r>
          </w:p>
        </w:tc>
        <w:tc>
          <w:tcPr>
            <w:tcW w:type="dxa" w:w="2880"/>
          </w:tcPr>
          <w:p>
            <w:r/>
            <w:r>
              <w:t>Alert owning support group with correlation IDs and dependency classification. Intake-derived timeouts are three seconds for fleet status, five seconds for Graph/Teams, and ten seconds for APIM/Foundry; confirm complete technical baseline before configuration.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P3 — Workflow</w:t>
            </w:r>
          </w:p>
        </w:tc>
        <w:tc>
          <w:tcPr>
            <w:tcW w:type="dxa" w:w="2880"/>
          </w:tcPr>
          <w:p>
            <w:r/>
            <w:r>
              <w:t>Workshop-job creation delays threaten the two-hour median target, or controller-review backlog for classification grows beyond its configured limit.</w:t>
            </w:r>
          </w:p>
        </w:tc>
        <w:tc>
          <w:tcPr>
            <w:tcW w:type="dxa" w:w="2880"/>
          </w:tcPr>
          <w:p>
            <w:r/>
            <w:r>
              <w:t>Create operational work item and review queue capacity, dependencies, and retry state.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P3 — Data quality</w:t>
            </w:r>
          </w:p>
        </w:tc>
        <w:tc>
          <w:tcPr>
            <w:tcW w:type="dxa" w:w="2880"/>
          </w:tcPr>
          <w:p>
            <w:r/>
            <w:r>
              <w:t>Manual odometer fallback, odometer reconciliation conflict, evidence-upload failure, or release-without-required-record attempt exceeds configured tolerance.</w:t>
            </w:r>
          </w:p>
        </w:tc>
        <w:tc>
          <w:tcPr>
            <w:tcW w:type="dxa" w:w="2880"/>
          </w:tcPr>
          <w:p>
            <w:r/>
            <w:r>
              <w:t>Operational review; investigate data-quality trend and user workflow issues.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P3 — Platform</w:t>
            </w:r>
          </w:p>
        </w:tc>
        <w:tc>
          <w:tcPr>
            <w:tcW w:type="dxa" w:w="2880"/>
          </w:tcPr>
          <w:p>
            <w:r/>
            <w:r>
              <w:t>App availability, failed deployment, elevated server errors, resource saturation, or scheduled service-plan job failure.</w:t>
            </w:r>
          </w:p>
        </w:tc>
        <w:tc>
          <w:tcPr>
            <w:tcW w:type="dxa" w:w="2880"/>
          </w:tcPr>
          <w:p>
            <w:r/>
            <w:r>
              <w:t>Engineering alert and deployment/scale investigation.</w:t>
            </w:r>
          </w:p>
        </w:tc>
      </w:tr>
    </w:tbl>
    <w:p/>
    <w:p>
      <w:pPr>
        <w:pStyle w:val="Heading1"/>
      </w:pPr>
      <w:r>
        <w:t>5. Dashboards</w:t>
      </w:r>
    </w:p>
    <w:p>
      <w:pPr>
        <w:pStyle w:val="Heading2"/>
      </w:pPr>
      <w:r>
        <w:t>Safety and grounding dashboard</w:t>
      </w:r>
    </w:p>
    <w:p>
      <w:pPr>
        <w:pStyle w:val="ListBullet"/>
      </w:pPr>
      <w:r>
        <w:t>Critical defects submitted, grounded, pending grounding, failed grounding, retried, manually resolved.</w:t>
      </w:r>
    </w:p>
    <w:p>
      <w:pPr>
        <w:pStyle w:val="ListBullet"/>
      </w:pPr>
      <w:r>
        <w:t>Time from critical-defect submission to authoritative grounding.</w:t>
      </w:r>
    </w:p>
    <w:p>
      <w:pPr>
        <w:pStyle w:val="ListBullet"/>
      </w:pPr>
      <w:r>
        <w:t>Trip starts denied due to grounding; any unsafe allow decisions.</w:t>
      </w:r>
    </w:p>
    <w:p>
      <w:pPr>
        <w:pStyle w:val="ListBullet"/>
      </w:pPr>
      <w:r>
        <w:t>Grounding state by integration result and retry age.</w:t>
      </w:r>
    </w:p>
    <w:p>
      <w:pPr>
        <w:pStyle w:val="Heading2"/>
      </w:pPr>
      <w:r>
        <w:t>Defect-to-workshop dashboard</w:t>
      </w:r>
    </w:p>
    <w:p>
      <w:pPr>
        <w:pStyle w:val="ListBullet"/>
      </w:pPr>
      <w:r>
        <w:t>Defect report to job-created duration distribution and median against the two-hour target.</w:t>
      </w:r>
    </w:p>
    <w:p>
      <w:pPr>
        <w:pStyle w:val="ListBullet"/>
      </w:pPr>
      <w:r>
        <w:t>Notification delivery/fallback/escalation outcomes.</w:t>
      </w:r>
    </w:p>
    <w:p>
      <w:pPr>
        <w:pStyle w:val="ListBullet"/>
      </w:pPr>
      <w:r>
        <w:t>Open critical jobs and release-pending vehicles.</w:t>
      </w:r>
    </w:p>
    <w:p>
      <w:pPr>
        <w:pStyle w:val="Heading2"/>
      </w:pPr>
      <w:r>
        <w:t>Inspection evidence and offline dashboard</w:t>
      </w:r>
    </w:p>
    <w:p>
      <w:pPr>
        <w:pStyle w:val="ListBullet"/>
      </w:pPr>
      <w:r>
        <w:t>Inspection submission success, immutable-commit success, evidence-upload success.</w:t>
      </w:r>
    </w:p>
    <w:p>
      <w:pPr>
        <w:pStyle w:val="ListBullet"/>
      </w:pPr>
      <w:r>
        <w:t>Offline queue count, oldest queue age, synchronization time after reconnection, reconciliation failures.</w:t>
      </w:r>
    </w:p>
    <w:p>
      <w:pPr>
        <w:pStyle w:val="ListBullet"/>
      </w:pPr>
      <w:r>
        <w:t>Completeness rate for the audit period, supporting the stated 99% target.</w:t>
      </w:r>
    </w:p>
    <w:p>
      <w:pPr>
        <w:pStyle w:val="Heading2"/>
      </w:pPr>
      <w:r>
        <w:t>Dependency and platform dashboard</w:t>
      </w:r>
    </w:p>
    <w:p>
      <w:pPr>
        <w:pStyle w:val="ListBullet"/>
      </w:pPr>
      <w:r>
        <w:t>Service availability, request latency, exception rate, and deployment version.</w:t>
      </w:r>
    </w:p>
    <w:p>
      <w:pPr>
        <w:pStyle w:val="ListBullet"/>
      </w:pPr>
      <w:r>
        <w:t>Dependency health for fleet management, telematics, Graph/Teams, SQL, Blob, APIM, and Foundry.</w:t>
      </w:r>
    </w:p>
    <w:p>
      <w:pPr>
        <w:pStyle w:val="ListBullet"/>
      </w:pPr>
      <w:r>
        <w:t>Retry volume, dead-letter/manual-resolution queues, and scheduled-calculator execution status.</w:t>
      </w:r>
    </w:p>
    <w:p>
      <w:pPr>
        <w:pStyle w:val="Heading2"/>
      </w:pPr>
      <w:r>
        <w:t>Service compliance dashboard</w:t>
      </w:r>
    </w:p>
    <w:p>
      <w:pPr>
        <w:pStyle w:val="ListBullet"/>
      </w:pPr>
      <w:r>
        <w:t>Services due, within due window, overdue, and completed within the planned window.</w:t>
      </w:r>
    </w:p>
    <w:p>
      <w:pPr>
        <w:pStyle w:val="ListBullet"/>
      </w:pPr>
      <w:r>
        <w:t>Compliance rate against the stated 92% target.</w:t>
      </w:r>
    </w:p>
    <w:p>
      <w:pPr>
        <w:pStyle w:val="ListBullet"/>
      </w:pPr>
      <w:r>
        <w:t>Telematics freshness and driver-entered odometer fallback rate.</w:t>
      </w:r>
    </w:p>
    <w:p>
      <w:pPr>
        <w:pStyle w:val="Heading1"/>
      </w:pPr>
      <w:r>
        <w:t>6. Incident response proposal</w:t>
      </w:r>
    </w:p>
    <w:p>
      <w:pPr>
        <w:pStyle w:val="Heading2"/>
      </w:pPr>
      <w:r>
        <w:t>P1 safety/evidence incident procedure</w:t>
      </w:r>
    </w:p>
    <w:p>
      <w:pPr>
        <w:pStyle w:val="ListNumber"/>
      </w:pPr>
      <w:r>
        <w:t>Acknowledge and assign an incident owner.</w:t>
      </w:r>
    </w:p>
    <w:p>
      <w:pPr>
        <w:pStyle w:val="ListNumber"/>
      </w:pPr>
      <w:r>
        <w:t>Identify affected vehicle/inspection/grounding event using correlation ID.</w:t>
      </w:r>
    </w:p>
    <w:p>
      <w:pPr>
        <w:pStyle w:val="ListNumber"/>
      </w:pPr>
      <w:r>
        <w:t>Confirm the current authoritative vehicle status and the driver-visible safety state.</w:t>
      </w:r>
    </w:p>
    <w:p>
      <w:pPr>
        <w:pStyle w:val="ListNumber"/>
      </w:pPr>
      <w:r>
        <w:t>Ensure duty-manager escalation has occurred; use the approved manual escalation route if automated notifications failed.</w:t>
      </w:r>
    </w:p>
    <w:p>
      <w:pPr>
        <w:pStyle w:val="ListNumber"/>
      </w:pPr>
      <w:r>
        <w:t>Preserve immutable operational evidence: relevant event IDs, timestamps, dependency results, retry history, and release/grounding state transitions.</w:t>
      </w:r>
    </w:p>
    <w:p>
      <w:pPr>
        <w:pStyle w:val="ListNumber"/>
      </w:pPr>
      <w:r>
        <w:t>Remediate through approved operational controls only; do not alter immutable inspection evidence.</w:t>
      </w:r>
    </w:p>
    <w:p>
      <w:pPr>
        <w:pStyle w:val="ListNumber"/>
      </w:pPr>
      <w:r>
        <w:t>Record root cause, affected scope, recovery time, and prevention action.</w:t>
      </w:r>
    </w:p>
    <w:p>
      <w:pPr>
        <w:pStyle w:val="Heading2"/>
      </w:pPr>
      <w:r>
        <w:t>P2/P3 procedure</w:t>
      </w:r>
    </w:p>
    <w:p>
      <w:pPr>
        <w:pStyle w:val="ListBullet"/>
      </w:pPr>
      <w:r>
        <w:t>Triage dependency versus application versus client-offline cause.</w:t>
      </w:r>
    </w:p>
    <w:p>
      <w:pPr>
        <w:pStyle w:val="ListBullet"/>
      </w:pPr>
      <w:r>
        <w:t>Validate configured timeout, retry, idempotency, fallback, and queue behavior.</w:t>
      </w:r>
    </w:p>
    <w:p>
      <w:pPr>
        <w:pStyle w:val="ListBullet"/>
      </w:pPr>
      <w:r>
        <w:t>Create a linked work item for defects, recurrent alerts, threshold changes, or runbook gaps.</w:t>
      </w:r>
    </w:p>
    <w:p>
      <w:pPr>
        <w:pStyle w:val="ListBullet"/>
      </w:pPr>
      <w:r>
        <w:t>Review recurring events in the operating cadence.</w:t>
      </w:r>
    </w:p>
    <w:p>
      <w:pPr>
        <w:pStyle w:val="Heading1"/>
      </w:pPr>
      <w:r>
        <w:t>7. Proposed operational cadence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Cadence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/>
            <w:r>
              <w:t>Continuous</w:t>
            </w:r>
          </w:p>
        </w:tc>
        <w:tc>
          <w:tcPr>
            <w:tcW w:type="dxa" w:w="4320"/>
          </w:tcPr>
          <w:p>
            <w:r/>
            <w:r>
              <w:t>Automated safety, evidence, notification, dependency, and platform alerts.</w:t>
            </w:r>
          </w:p>
        </w:tc>
      </w:tr>
      <w:tr>
        <w:tc>
          <w:tcPr>
            <w:tcW w:type="dxa" w:w="4320"/>
          </w:tcPr>
          <w:p>
            <w:r/>
            <w:r>
              <w:t>Daily</w:t>
            </w:r>
          </w:p>
        </w:tc>
        <w:tc>
          <w:tcPr>
            <w:tcW w:type="dxa" w:w="4320"/>
          </w:tcPr>
          <w:p>
            <w:r/>
            <w:r>
              <w:t>Review unresolved grounding retries, notification failures, offline queues, critical open jobs, and failed scheduled processing.</w:t>
            </w:r>
          </w:p>
        </w:tc>
      </w:tr>
      <w:tr>
        <w:tc>
          <w:tcPr>
            <w:tcW w:type="dxa" w:w="4320"/>
          </w:tcPr>
          <w:p>
            <w:r/>
            <w:r>
              <w:t>Weekly</w:t>
            </w:r>
          </w:p>
        </w:tc>
        <w:tc>
          <w:tcPr>
            <w:tcW w:type="dxa" w:w="4320"/>
          </w:tcPr>
          <w:p>
            <w:r/>
            <w:r>
              <w:t>Review SLO trends, top failure modes, dependency health, alert noise, and controller-review backlog.</w:t>
            </w:r>
          </w:p>
        </w:tc>
      </w:tr>
      <w:tr>
        <w:tc>
          <w:tcPr>
            <w:tcW w:type="dxa" w:w="4320"/>
          </w:tcPr>
          <w:p>
            <w:r/>
            <w:r>
              <w:t>Per release</w:t>
            </w:r>
          </w:p>
        </w:tc>
        <w:tc>
          <w:tcPr>
            <w:tcW w:type="dxa" w:w="4320"/>
          </w:tcPr>
          <w:p>
            <w:r/>
            <w:r>
              <w:t>Verify dashboard availability, alert routing, correlation propagation, synthetic safety-path test results, and rollback/deployment health.</w:t>
            </w:r>
          </w:p>
        </w:tc>
      </w:tr>
      <w:tr>
        <w:tc>
          <w:tcPr>
            <w:tcW w:type="dxa" w:w="4320"/>
          </w:tcPr>
          <w:p>
            <w:r/>
            <w:r>
              <w:t>Monthly</w:t>
            </w:r>
          </w:p>
        </w:tc>
        <w:tc>
          <w:tcPr>
            <w:tcW w:type="dxa" w:w="4320"/>
          </w:tcPr>
          <w:p>
            <w:r/>
            <w:r>
              <w:t>Test incident runbook and escalation route; review telemetry access, retention, data minimization, and operational configuration changes.</w:t>
            </w:r>
          </w:p>
        </w:tc>
      </w:tr>
    </w:tbl>
    <w:p/>
    <w:p>
      <w:pPr>
        <w:pStyle w:val="Heading1"/>
      </w:pPr>
      <w:r>
        <w:t>8. Validation required before operate-stage approval</w:t>
      </w:r>
    </w:p>
    <w:p>
      <w:pPr>
        <w:pStyle w:val="ListNumber"/>
      </w:pPr>
      <w:r>
        <w:t>Identify the actual Dev App Service, Function App, database, storage, APIM, Foundry, and monitoring resource names so deployment status and current telemetry configuration can be verified.</w:t>
      </w:r>
    </w:p>
    <w:p>
      <w:pPr>
        <w:pStyle w:val="ListNumber"/>
      </w:pPr>
      <w:r>
        <w:t xml:space="preserve">Resolve the database discrepancy: project context states </w:t>
      </w:r>
      <w:r>
        <w:rPr>
          <w:b/>
        </w:rPr>
        <w:t>PostgreSQL</w:t>
      </w:r>
      <w:r>
        <w:t xml:space="preserve">, while the technical requirements specify </w:t>
      </w:r>
      <w:r>
        <w:rPr>
          <w:b/>
        </w:rPr>
        <w:t>Azure SQL Database</w:t>
      </w:r>
      <w:r>
        <w:t>.</w:t>
      </w:r>
    </w:p>
    <w:p>
      <w:pPr>
        <w:pStyle w:val="ListNumber"/>
      </w:pPr>
      <w:r>
        <w:t xml:space="preserve">Confirm the approved hosting topology. The technical intake describes active-active deployment across two regions behind Front Door, while current Azure evidence only confirms a resource group in </w:t>
      </w:r>
      <w:r>
        <w:rPr>
          <w:rFonts w:ascii="Consolas" w:hAnsi="Consolas"/>
          <w:color w:val="1F2937"/>
        </w:rPr>
        <w:t>westus</w:t>
      </w:r>
      <w:r>
        <w:t>.</w:t>
      </w:r>
    </w:p>
    <w:p>
      <w:pPr>
        <w:pStyle w:val="ListNumber"/>
      </w:pPr>
      <w:r>
        <w:t>Supply the complete technical-requirements and requirements documents, particularly the truncated non-functional requirements, retention, observability, alerting, and Foundry sections.</w:t>
      </w:r>
    </w:p>
    <w:p>
      <w:pPr>
        <w:pStyle w:val="ListNumber"/>
      </w:pPr>
      <w:r>
        <w:t>Approve operational ownership and escalation routing for Fleet Systems, Integration Platform, AI Engineering, workshop operations, and duty management.</w:t>
      </w:r>
    </w:p>
    <w:p>
      <w:pPr>
        <w:pStyle w:val="ListNumber"/>
      </w:pPr>
      <w:r>
        <w:t>Confirm whether existing fleet availability dashboards are the required reporting destination or whether the proposed dashboards are approved additions.</w:t>
      </w:r>
    </w:p>
    <w:p>
      <w:pPr>
        <w:pStyle w:val="ListNumber"/>
      </w:pPr>
      <w:r>
        <w:t>Define approved Dev telemetry retention, data classification, access roles, sampling, and evidence-reference handling.</w:t>
      </w:r>
    </w:p>
    <w:p>
      <w:pPr>
        <w:pStyle w:val="Heading1"/>
      </w:pPr>
      <w:r>
        <w:t>9. Proposed change set after approval</w:t>
      </w:r>
    </w:p>
    <w:p>
      <w:r>
        <w:t>The factory should create, review, and deploy:</w:t>
      </w:r>
    </w:p>
    <w:p>
      <w:pPr>
        <w:pStyle w:val="ListBullet"/>
      </w:pPr>
      <w:r>
        <w:t>Configuration-managed monitoring, alert, dashboard, and receiver definitions.</w:t>
      </w:r>
    </w:p>
    <w:p>
      <w:pPr>
        <w:pStyle w:val="ListBullet"/>
      </w:pPr>
      <w:r>
        <w:t>Correlated structured telemetry across all named components and dependencies.</w:t>
      </w:r>
    </w:p>
    <w:p>
      <w:pPr>
        <w:pStyle w:val="ListBullet"/>
      </w:pPr>
      <w:r>
        <w:t>Synthetic/automated checks for critical grounding, trip-start denial, notification fallback, offline synchronization, and evidence commit.</w:t>
      </w:r>
    </w:p>
    <w:p>
      <w:pPr>
        <w:pStyle w:val="ListBullet"/>
      </w:pPr>
      <w:r>
        <w:t>Operational runbooks and an escalation matrix.</w:t>
      </w:r>
    </w:p>
    <w:p>
      <w:pPr>
        <w:pStyle w:val="ListBullet"/>
      </w:pPr>
      <w:r>
        <w:t>A traceability matrix mapping each alert and dashboard panel to the applicable requirement and operational owner.</w:t>
      </w:r>
    </w:p>
    <w:p>
      <w:r>
        <w:t>No resource, configuration, code, dashboard, alert, work item, or documentation change has been made by this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