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Test Plan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pPr>
        <w:pStyle w:val="Heading1"/>
      </w:pPr>
      <w:r>
        <w:t>Test-Stage Proposal — Tutorial Safety Incident Reporting</w:t>
      </w:r>
    </w:p>
    <w:p>
      <w:r>
        <w:rPr>
          <w:b/>
        </w:rPr>
        <w:t>Status:</w:t>
      </w:r>
      <w:r>
        <w:t xml:space="preserve"> Proposed for human review </w:t>
      </w:r>
      <w:r>
        <w:rPr>
          <w:b/>
        </w:rPr>
        <w:t>Target environment:</w:t>
      </w:r>
      <w:r>
        <w:t xml:space="preserve"> Dev </w:t>
      </w:r>
      <w:r>
        <w:rPr>
          <w:b/>
        </w:rPr>
        <w:t>Test-management system of record:</w:t>
      </w:r>
      <w:r>
        <w:t xml:space="preserve"> Azure DevOps </w:t>
      </w:r>
      <w:r>
        <w:rPr>
          <w:b/>
        </w:rPr>
        <w:t>Source baseline:</w:t>
      </w:r>
      <w:r>
        <w:t xml:space="preserve"> intake requirements and active delivery work items</w:t>
      </w:r>
    </w:p>
    <w:p>
      <w:pPr>
        <w:pStyle w:val="Heading1"/>
      </w:pPr>
      <w:r>
        <w:t>1. Evidence reviewed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Finding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Test-planning implication</w:t>
            </w:r>
          </w:p>
        </w:tc>
      </w:tr>
      <w:tr>
        <w:tc>
          <w:tcPr>
            <w:tcW w:type="dxa" w:w="2880"/>
          </w:tcPr>
          <w:p>
            <w:r/>
            <w:r>
              <w:t xml:space="preserve">Intake requirements: </w:t>
            </w:r>
            <w:r>
              <w:rPr>
                <w:rFonts w:ascii="Consolas" w:hAnsi="Consolas"/>
                <w:color w:val="1F2937"/>
              </w:rPr>
              <w:t>docs/intake/requirements/tutorial-safety-incident-reporting-requirements.md</w:t>
            </w:r>
          </w:p>
        </w:tc>
        <w:tc>
          <w:tcPr>
            <w:tcW w:type="dxa" w:w="2880"/>
          </w:tcPr>
          <w:p>
            <w:r/>
            <w:r>
              <w:t>Requires a mobile-first end-to-end workflow: submit incident, safety-lead triage and notification, corrective actions through verification, investigation closure, responsive UI, validation, sensitive-data protection, clear feedback, realistic sample data, and automation.</w:t>
            </w:r>
          </w:p>
        </w:tc>
        <w:tc>
          <w:tcPr>
            <w:tcW w:type="dxa" w:w="2880"/>
          </w:tcPr>
          <w:p>
            <w:r/>
            <w:r>
              <w:t>Primary test scope and release evidence.</w:t>
            </w:r>
          </w:p>
        </w:tc>
      </w:tr>
      <w:tr>
        <w:tc>
          <w:tcPr>
            <w:tcW w:type="dxa" w:w="2880"/>
          </w:tcPr>
          <w:p>
            <w:r/>
            <w:r>
              <w:t>Azure DevOps project</w:t>
            </w:r>
          </w:p>
        </w:tc>
        <w:tc>
          <w:tcPr>
            <w:tcW w:type="dxa" w:w="2880"/>
          </w:tcPr>
          <w:p>
            <w:r/>
            <w:r>
              <w:t>Project exists and matches the supplied scope.</w:t>
            </w:r>
          </w:p>
        </w:tc>
        <w:tc>
          <w:tcPr>
            <w:tcW w:type="dxa" w:w="2880"/>
          </w:tcPr>
          <w:p>
            <w:r/>
            <w:r>
              <w:t>Proposed test records should be created in this project.</w:t>
            </w:r>
          </w:p>
        </w:tc>
      </w:tr>
      <w:tr>
        <w:tc>
          <w:tcPr>
            <w:tcW w:type="dxa" w:w="2880"/>
          </w:tcPr>
          <w:p>
            <w:r/>
            <w:r>
              <w:t>Active work items 1719 (https://dev.azure.com/csdmichael/Tutorial%20Safety%20Incident%20Reporting/_workitems/edit/1719), 1723 (https://dev.azure.com/csdmichael/Tutorial%20Safety%20Incident%20Reporting/_workitems/edit/1723), 1728 (https://dev.azure.com/csdmichael/Tutorial%20Safety%20Incident%20Reporting/_workitems/edit/1728), 1732 (https://dev.azure.com/csdmichael/Tutorial%20Safety%20Incident%20Reporting/_workitems/edit/1732), and 1737 (https://dev.azure.com/csdmichael/Tutorial%20Safety%20Incident%20Reporting/_workitems/edit/1737)</w:t>
            </w:r>
          </w:p>
        </w:tc>
        <w:tc>
          <w:tcPr>
            <w:tcW w:type="dxa" w:w="2880"/>
          </w:tcPr>
          <w:p>
            <w:r/>
            <w:r>
              <w:t>The active story set aligns to the requested workflow. Associated active Test tasks are 1722 (https://dev.azure.com/csdmichael/Tutorial%20Safety%20Incident%20Reporting/_workitems/edit/1722), 1726 (https://dev.azure.com/csdmichael/Tutorial%20Safety%20Incident%20Reporting/_workitems/edit/1726), 1731 (https://dev.azure.com/csdmichael/Tutorial%20Safety%20Incident%20Reporting/_workitems/edit/1731), 1735 (https://dev.azure.com/csdmichael/Tutorial%20Safety%20Incident%20Reporting/_workitems/edit/1735), and 1740 (https://dev.azure.com/csdmichael/Tutorial%20Safety%20Incident%20Reporting/_workitems/edit/1740).</w:t>
            </w:r>
          </w:p>
        </w:tc>
        <w:tc>
          <w:tcPr>
            <w:tcW w:type="dxa" w:w="2880"/>
          </w:tcPr>
          <w:p>
            <w:r/>
            <w:r>
              <w:t>Test cases and automated evidence should trace to these Test tasks.</w:t>
            </w:r>
          </w:p>
        </w:tc>
      </w:tr>
      <w:tr>
        <w:tc>
          <w:tcPr>
            <w:tcW w:type="dxa" w:w="2880"/>
          </w:tcPr>
          <w:p>
            <w:r/>
            <w:r>
              <w:t>Active story 1741 (https://dev.azure.com/csdmichael/Tutorial%20Safety%20Incident%20Reporting/_workitems/edit/1741), “Occupational-health case management”</w:t>
            </w:r>
          </w:p>
        </w:tc>
        <w:tc>
          <w:tcPr>
            <w:tcW w:type="dxa" w:w="2880"/>
          </w:tcPr>
          <w:p>
            <w:r/>
            <w:r>
              <w:t>This conflicts with the explicit release exclusion for occupational-health case management.</w:t>
            </w:r>
          </w:p>
        </w:tc>
        <w:tc>
          <w:tcPr>
            <w:tcW w:type="dxa" w:w="2880"/>
          </w:tcPr>
          <w:p>
            <w:r/>
            <w:r>
              <w:t>Treat as a scope defect: exclude it from this release’s test plan and ask the product owner to remove, close, or reclassify it before release approval.</w:t>
            </w:r>
          </w:p>
        </w:tc>
      </w:tr>
      <w:tr>
        <w:tc>
          <w:tcPr>
            <w:tcW w:type="dxa" w:w="2880"/>
          </w:tcPr>
          <w:p>
            <w:r/>
            <w:r>
              <w:t>Azure DevOps repository record</w:t>
            </w:r>
          </w:p>
        </w:tc>
        <w:tc>
          <w:tcPr>
            <w:tcW w:type="dxa" w:w="2880"/>
          </w:tcPr>
          <w:p>
            <w:r/>
            <w:r>
              <w:t>A repository is registered, but no branches were returned.</w:t>
            </w:r>
          </w:p>
        </w:tc>
        <w:tc>
          <w:tcPr>
            <w:tcW w:type="dxa" w:w="2880"/>
          </w:tcPr>
          <w:p>
            <w:r/>
            <w:r>
              <w:t>No implementation baseline was available through the connected records for test execution planning. Automation details must be confirmed after the GitHub source and workflow are accessible.</w:t>
            </w:r>
          </w:p>
        </w:tc>
      </w:tr>
      <w:tr>
        <w:tc>
          <w:tcPr>
            <w:tcW w:type="dxa" w:w="2880"/>
          </w:tcPr>
          <w:p>
            <w:r/>
            <w:r>
              <w:t>Existing unrelated closed and active work/test records</w:t>
            </w:r>
          </w:p>
        </w:tc>
        <w:tc>
          <w:tcPr>
            <w:tcW w:type="dxa" w:w="2880"/>
          </w:tcPr>
          <w:p>
            <w:r/>
            <w:r>
              <w:t>The project contains records from other initiatives, including a test plan for a different domain.</w:t>
            </w:r>
          </w:p>
        </w:tc>
        <w:tc>
          <w:tcPr>
            <w:tcW w:type="dxa" w:w="2880"/>
          </w:tcPr>
          <w:p>
            <w:r/>
            <w:r>
              <w:t>Do not reuse those test plans/cases as evidence. Create a clearly scoped incident-reporting plan to preserve traceability.</w:t>
            </w:r>
          </w:p>
        </w:tc>
      </w:tr>
    </w:tbl>
    <w:p/>
    <w:p>
      <w:r>
        <w:rPr>
          <w:b/>
        </w:rPr>
        <w:t>Evidence limitation:</w:t>
      </w:r>
      <w:r>
        <w:t xml:space="preserve"> Technical requirements and UX mockups are marked missing in the supplied project context. No acceptance-level API contract, status-transition rules, role matrix, data-retention rule, accessibility standard, or notification delivery contract was available. The proposal therefore tests stated outcomes and identifies unresolved specifics as approval gates rather than inventing requirements.</w:t>
      </w:r>
    </w:p>
    <w:p>
      <w:pPr>
        <w:pStyle w:val="Heading1"/>
      </w:pPr>
      <w:r>
        <w:t>2. Proposed Azure DevOps changes</w:t>
      </w:r>
    </w:p>
    <w:p>
      <w:r>
        <w:t xml:space="preserve">After approval, the factory should create the following </w:t>
      </w:r>
      <w:r>
        <w:rPr>
          <w:b/>
        </w:rPr>
        <w:t>new</w:t>
      </w:r>
      <w:r>
        <w:t xml:space="preserve"> records; no existing record should be modified automatically.</w:t>
      </w:r>
    </w:p>
    <w:p>
      <w:pPr>
        <w:pStyle w:val="Heading2"/>
      </w:pPr>
      <w:r>
        <w:t>Test plan</w:t>
      </w:r>
    </w:p>
    <w:p>
      <w:r>
        <w:rPr>
          <w:b/>
        </w:rPr>
        <w:t>Title:</w:t>
      </w:r>
      <w:r>
        <w:t xml:space="preserve"> </w:t>
      </w:r>
      <w:r>
        <w:rPr>
          <w:rFonts w:ascii="Consolas" w:hAnsi="Consolas"/>
          <w:color w:val="1F2937"/>
        </w:rPr>
        <w:t>Tutorial Safety Incident Reporting — Dev validation</w:t>
      </w:r>
      <w:r>
        <w:t xml:space="preserve"> </w:t>
      </w:r>
      <w:r>
        <w:rPr>
          <w:b/>
        </w:rPr>
        <w:t>Purpose:</w:t>
      </w:r>
      <w:r>
        <w:t xml:space="preserve"> Establish functional, integration, usability, responsive, access-control, persistence, and automated-regression evidence for the approved release boundary.</w:t>
      </w:r>
    </w:p>
    <w:p>
      <w:pPr>
        <w:pStyle w:val="Heading2"/>
      </w:pPr>
      <w:r>
        <w:t>Test suites and traceability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Suite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Linked delivery records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Coverage purpose</w:t>
            </w:r>
          </w:p>
        </w:tc>
      </w:tr>
      <w:tr>
        <w:tc>
          <w:tcPr>
            <w:tcW w:type="dxa" w:w="2880"/>
          </w:tcPr>
          <w:p>
            <w:r/>
            <w:r>
              <w:t>Incident reporting</w:t>
            </w:r>
          </w:p>
        </w:tc>
        <w:tc>
          <w:tcPr>
            <w:tcW w:type="dxa" w:w="2880"/>
          </w:tcPr>
          <w:p>
            <w:r/>
            <w:r>
              <w:t>Story 1719; Test task 1722</w:t>
            </w:r>
          </w:p>
        </w:tc>
        <w:tc>
          <w:tcPr>
            <w:tcW w:type="dxa" w:w="2880"/>
          </w:tcPr>
          <w:p>
            <w:r/>
            <w:r>
              <w:t>Rapid, valid mobile submission and validation/error outcomes.</w:t>
            </w:r>
          </w:p>
        </w:tc>
      </w:tr>
      <w:tr>
        <w:tc>
          <w:tcPr>
            <w:tcW w:type="dxa" w:w="2880"/>
          </w:tcPr>
          <w:p>
            <w:r/>
            <w:r>
              <w:t>Triage and notification</w:t>
            </w:r>
          </w:p>
        </w:tc>
        <w:tc>
          <w:tcPr>
            <w:tcW w:type="dxa" w:w="2880"/>
          </w:tcPr>
          <w:p>
            <w:r/>
            <w:r>
              <w:t>Story 1723; Test task 1726</w:t>
            </w:r>
          </w:p>
        </w:tc>
        <w:tc>
          <w:tcPr>
            <w:tcW w:type="dxa" w:w="2880"/>
          </w:tcPr>
          <w:p>
            <w:r/>
            <w:r>
              <w:t>Safety-lead review, triage updates, and notification recording/outcomes.</w:t>
            </w:r>
          </w:p>
        </w:tc>
      </w:tr>
      <w:tr>
        <w:tc>
          <w:tcPr>
            <w:tcW w:type="dxa" w:w="2880"/>
          </w:tcPr>
          <w:p>
            <w:r/>
            <w:r>
              <w:t>Corrective-action verification</w:t>
            </w:r>
          </w:p>
        </w:tc>
        <w:tc>
          <w:tcPr>
            <w:tcW w:type="dxa" w:w="2880"/>
          </w:tcPr>
          <w:p>
            <w:r/>
            <w:r>
              <w:t>Story 1728; Test task 1731</w:t>
            </w:r>
          </w:p>
        </w:tc>
        <w:tc>
          <w:tcPr>
            <w:tcW w:type="dxa" w:w="2880"/>
          </w:tcPr>
          <w:p>
            <w:r/>
            <w:r>
              <w:t>Assignment, update, completion evidence/note as implemented, and independent verification prior to closure.</w:t>
            </w:r>
          </w:p>
        </w:tc>
      </w:tr>
      <w:tr>
        <w:tc>
          <w:tcPr>
            <w:tcW w:type="dxa" w:w="2880"/>
          </w:tcPr>
          <w:p>
            <w:r/>
            <w:r>
              <w:t>Investigation closure and reporting record</w:t>
            </w:r>
          </w:p>
        </w:tc>
        <w:tc>
          <w:tcPr>
            <w:tcW w:type="dxa" w:w="2880"/>
          </w:tcPr>
          <w:p>
            <w:r/>
            <w:r>
              <w:t>Story 1732; Test task 1735</w:t>
            </w:r>
          </w:p>
        </w:tc>
        <w:tc>
          <w:tcPr>
            <w:tcW w:type="dxa" w:w="2880"/>
          </w:tcPr>
          <w:p>
            <w:r/>
            <w:r>
              <w:t>Completion of investigation, closure controls, retained workflow history, and closed-record review.</w:t>
            </w:r>
          </w:p>
        </w:tc>
      </w:tr>
      <w:tr>
        <w:tc>
          <w:tcPr>
            <w:tcW w:type="dxa" w:w="2880"/>
          </w:tcPr>
          <w:p>
            <w:r/>
            <w:r>
              <w:t>Feedback, protection, responsive experience, and regression</w:t>
            </w:r>
          </w:p>
        </w:tc>
        <w:tc>
          <w:tcPr>
            <w:tcW w:type="dxa" w:w="2880"/>
          </w:tcPr>
          <w:p>
            <w:r/>
            <w:r>
              <w:t>Story 1737; Test task 1740</w:t>
            </w:r>
          </w:p>
        </w:tc>
        <w:tc>
          <w:tcPr>
            <w:tcW w:type="dxa" w:w="2880"/>
          </w:tcPr>
          <w:p>
            <w:r/>
            <w:r>
              <w:t>Clear success/failure states, input validation, sensitive-data protection, synthetic tutorial data, responsive behavior, and automation.</w:t>
            </w:r>
          </w:p>
        </w:tc>
      </w:tr>
      <w:tr>
        <w:tc>
          <w:tcPr>
            <w:tcW w:type="dxa" w:w="2880"/>
          </w:tcPr>
          <w:p>
            <w:r/>
            <w:r>
              <w:t>Release-boundary safeguards</w:t>
            </w:r>
          </w:p>
        </w:tc>
        <w:tc>
          <w:tcPr>
            <w:tcW w:type="dxa" w:w="2880"/>
          </w:tcPr>
          <w:p>
            <w:r/>
            <w:r>
              <w:t>Requirement scope and work item 1741 exception</w:t>
            </w:r>
          </w:p>
        </w:tc>
        <w:tc>
          <w:tcPr>
            <w:tcW w:type="dxa" w:w="2880"/>
          </w:tcPr>
          <w:p>
            <w:r/>
            <w:r>
              <w:t>Confirm excluded downstream processes are not delivered as application workflows.</w:t>
            </w:r>
          </w:p>
        </w:tc>
      </w:tr>
    </w:tbl>
    <w:p/>
    <w:p>
      <w:pPr>
        <w:pStyle w:val="Heading1"/>
      </w:pPr>
      <w:r>
        <w:t>3. Proposed test cases</w:t>
      </w:r>
    </w:p>
    <w:p>
      <w:r>
        <w:t>The following are the minimum reviewable cases. Detailed test steps will use the approved field labels, role names, statuses, and acceptance criteria once the implementation and missing specifications are available.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 case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Type / priority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Expected evidence</w:t>
            </w:r>
          </w:p>
        </w:tc>
      </w:tr>
      <w:tr>
        <w:tc>
          <w:tcPr>
            <w:tcW w:type="dxa" w:w="2160"/>
          </w:tcPr>
          <w:p>
            <w:r/>
            <w:r>
              <w:t>TSIR-01</w:t>
            </w:r>
          </w:p>
        </w:tc>
        <w:tc>
          <w:tcPr>
            <w:tcW w:type="dxa" w:w="2160"/>
          </w:tcPr>
          <w:p>
            <w:r/>
            <w:r>
              <w:t>Submit a minimum valid incident report from a mobile viewport within the stated under-one-minute user outcome.</w:t>
            </w:r>
          </w:p>
        </w:tc>
        <w:tc>
          <w:tcPr>
            <w:tcW w:type="dxa" w:w="2160"/>
          </w:tcPr>
          <w:p>
            <w:r/>
            <w:r>
              <w:t>End-to-end; release-critical</w:t>
            </w:r>
          </w:p>
        </w:tc>
        <w:tc>
          <w:tcPr>
            <w:tcW w:type="dxa" w:w="2160"/>
          </w:tcPr>
          <w:p>
            <w:r/>
            <w:r>
              <w:t>Created record, visible confirmation, assigned identifier/status as implemented, and elapsed-time observation using controlled Dev conditions.</w:t>
            </w:r>
          </w:p>
        </w:tc>
      </w:tr>
      <w:tr>
        <w:tc>
          <w:tcPr>
            <w:tcW w:type="dxa" w:w="2160"/>
          </w:tcPr>
          <w:p>
            <w:r/>
            <w:r>
              <w:t>TSIR-02</w:t>
            </w:r>
          </w:p>
        </w:tc>
        <w:tc>
          <w:tcPr>
            <w:tcW w:type="dxa" w:w="2160"/>
          </w:tcPr>
          <w:p>
            <w:r/>
            <w:r>
              <w:t>Prevent submission when required information is absent or invalid; preserve entered safe values where applicable and show actionable feedback.</w:t>
            </w:r>
          </w:p>
        </w:tc>
        <w:tc>
          <w:tcPr>
            <w:tcW w:type="dxa" w:w="2160"/>
          </w:tcPr>
          <w:p>
            <w:r/>
            <w:r>
              <w:t>UI/API integration; release-critical</w:t>
            </w:r>
          </w:p>
        </w:tc>
        <w:tc>
          <w:tcPr>
            <w:tcW w:type="dxa" w:w="2160"/>
          </w:tcPr>
          <w:p>
            <w:r/>
            <w:r>
              <w:t>Field-level and/or summary feedback; no invalid persistent record.</w:t>
            </w:r>
          </w:p>
        </w:tc>
      </w:tr>
      <w:tr>
        <w:tc>
          <w:tcPr>
            <w:tcW w:type="dxa" w:w="2160"/>
          </w:tcPr>
          <w:p>
            <w:r/>
            <w:r>
              <w:t>TSIR-03</w:t>
            </w:r>
          </w:p>
        </w:tc>
        <w:tc>
          <w:tcPr>
            <w:tcW w:type="dxa" w:w="2160"/>
          </w:tcPr>
          <w:p>
            <w:r/>
            <w:r>
              <w:t>Handle a service or persistence failure during report submission without falsely confirming success.</w:t>
            </w:r>
          </w:p>
        </w:tc>
        <w:tc>
          <w:tcPr>
            <w:tcW w:type="dxa" w:w="2160"/>
          </w:tcPr>
          <w:p>
            <w:r/>
            <w:r>
              <w:t>End-to-end negative</w:t>
            </w:r>
          </w:p>
        </w:tc>
        <w:tc>
          <w:tcPr>
            <w:tcW w:type="dxa" w:w="2160"/>
          </w:tcPr>
          <w:p>
            <w:r/>
            <w:r>
              <w:t>Clear unsuccessful outcome and safe recovery/retry behavior; no duplicate or partial state unless the approved design explicitly supports it.</w:t>
            </w:r>
          </w:p>
        </w:tc>
      </w:tr>
      <w:tr>
        <w:tc>
          <w:tcPr>
            <w:tcW w:type="dxa" w:w="2160"/>
          </w:tcPr>
          <w:p>
            <w:r/>
            <w:r>
              <w:t>TSIR-04</w:t>
            </w:r>
          </w:p>
        </w:tc>
        <w:tc>
          <w:tcPr>
            <w:tcW w:type="dxa" w:w="2160"/>
          </w:tcPr>
          <w:p>
            <w:r/>
            <w:r>
              <w:t>Allow the safety lead to locate and review a submitted report, record triage decisions, and record notification activity.</w:t>
            </w:r>
          </w:p>
        </w:tc>
        <w:tc>
          <w:tcPr>
            <w:tcW w:type="dxa" w:w="2160"/>
          </w:tcPr>
          <w:p>
            <w:r/>
            <w:r>
              <w:t>End-to-end; release-critical</w:t>
            </w:r>
          </w:p>
        </w:tc>
        <w:tc>
          <w:tcPr>
            <w:tcW w:type="dxa" w:w="2160"/>
          </w:tcPr>
          <w:p>
            <w:r/>
            <w:r>
              <w:t>Updated incident timeline/history and visible notification outcome/state.</w:t>
            </w:r>
          </w:p>
        </w:tc>
      </w:tr>
      <w:tr>
        <w:tc>
          <w:tcPr>
            <w:tcW w:type="dxa" w:w="2160"/>
          </w:tcPr>
          <w:p>
            <w:r/>
            <w:r>
              <w:t>TSIR-05</w:t>
            </w:r>
          </w:p>
        </w:tc>
        <w:tc>
          <w:tcPr>
            <w:tcW w:type="dxa" w:w="2160"/>
          </w:tcPr>
          <w:p>
            <w:r/>
            <w:r>
              <w:t>Reject invalid or incomplete triage/notification changes according to implemented validation rules.</w:t>
            </w:r>
          </w:p>
        </w:tc>
        <w:tc>
          <w:tcPr>
            <w:tcW w:type="dxa" w:w="2160"/>
          </w:tcPr>
          <w:p>
            <w:r/>
            <w:r>
              <w:t>UI/API integration</w:t>
            </w:r>
          </w:p>
        </w:tc>
        <w:tc>
          <w:tcPr>
            <w:tcW w:type="dxa" w:w="2160"/>
          </w:tcPr>
          <w:p>
            <w:r/>
            <w:r>
              <w:t>Clear feedback; prior valid state remains intact.</w:t>
            </w:r>
          </w:p>
        </w:tc>
      </w:tr>
      <w:tr>
        <w:tc>
          <w:tcPr>
            <w:tcW w:type="dxa" w:w="2160"/>
          </w:tcPr>
          <w:p>
            <w:r/>
            <w:r>
              <w:t>TSIR-06</w:t>
            </w:r>
          </w:p>
        </w:tc>
        <w:tc>
          <w:tcPr>
            <w:tcW w:type="dxa" w:w="2160"/>
          </w:tcPr>
          <w:p>
            <w:r/>
            <w:r>
              <w:t>Create, assign, update, and mark a corrective action complete using the approved workflow.</w:t>
            </w:r>
          </w:p>
        </w:tc>
        <w:tc>
          <w:tcPr>
            <w:tcW w:type="dxa" w:w="2160"/>
          </w:tcPr>
          <w:p>
            <w:r/>
            <w:r>
              <w:t>End-to-end; release-critical</w:t>
            </w:r>
          </w:p>
        </w:tc>
        <w:tc>
          <w:tcPr>
            <w:tcW w:type="dxa" w:w="2160"/>
          </w:tcPr>
          <w:p>
            <w:r/>
            <w:r>
              <w:t>Owner, status, completion information, and retained association with the incident.</w:t>
            </w:r>
          </w:p>
        </w:tc>
      </w:tr>
      <w:tr>
        <w:tc>
          <w:tcPr>
            <w:tcW w:type="dxa" w:w="2160"/>
          </w:tcPr>
          <w:p>
            <w:r/>
            <w:r>
              <w:t>TSIR-07</w:t>
            </w:r>
          </w:p>
        </w:tc>
        <w:tc>
          <w:tcPr>
            <w:tcW w:type="dxa" w:w="2160"/>
          </w:tcPr>
          <w:p>
            <w:r/>
            <w:r>
              <w:t>Prevent closure where corrective actions requiring verification are not verified; permit the configured verifier to record a successful or unsuccessful verification outcome.</w:t>
            </w:r>
          </w:p>
        </w:tc>
        <w:tc>
          <w:tcPr>
            <w:tcW w:type="dxa" w:w="2160"/>
          </w:tcPr>
          <w:p>
            <w:r/>
            <w:r>
              <w:t>Rules/API/UI integration; release-critical</w:t>
            </w:r>
          </w:p>
        </w:tc>
        <w:tc>
          <w:tcPr>
            <w:tcW w:type="dxa" w:w="2160"/>
          </w:tcPr>
          <w:p>
            <w:r/>
            <w:r>
              <w:t>Closure blocked with clear reason; verification outcome retained.</w:t>
            </w:r>
          </w:p>
        </w:tc>
      </w:tr>
      <w:tr>
        <w:tc>
          <w:tcPr>
            <w:tcW w:type="dxa" w:w="2160"/>
          </w:tcPr>
          <w:p>
            <w:r/>
            <w:r>
              <w:t>TSIR-08</w:t>
            </w:r>
          </w:p>
        </w:tc>
        <w:tc>
          <w:tcPr>
            <w:tcW w:type="dxa" w:w="2160"/>
          </w:tcPr>
          <w:p>
            <w:r/>
            <w:r>
              <w:t>Complete the investigation and close an eligible incident.</w:t>
            </w:r>
          </w:p>
        </w:tc>
        <w:tc>
          <w:tcPr>
            <w:tcW w:type="dxa" w:w="2160"/>
          </w:tcPr>
          <w:p>
            <w:r/>
            <w:r>
              <w:t>End-to-end; release-critical</w:t>
            </w:r>
          </w:p>
        </w:tc>
        <w:tc>
          <w:tcPr>
            <w:tcW w:type="dxa" w:w="2160"/>
          </w:tcPr>
          <w:p>
            <w:r/>
            <w:r>
              <w:t>Closed record contains report, triage, notification, investigation, corrective-action, verification, and closure history required by the approved design.</w:t>
            </w:r>
          </w:p>
        </w:tc>
      </w:tr>
      <w:tr>
        <w:tc>
          <w:tcPr>
            <w:tcW w:type="dxa" w:w="2160"/>
          </w:tcPr>
          <w:p>
            <w:r/>
            <w:r>
              <w:t>TSIR-09</w:t>
            </w:r>
          </w:p>
        </w:tc>
        <w:tc>
          <w:tcPr>
            <w:tcW w:type="dxa" w:w="2160"/>
          </w:tcPr>
          <w:p>
            <w:r/>
            <w:r>
              <w:t>Confirm the closed record remains reviewable after refresh/re-login and cannot be altered contrary to the approved closure rules.</w:t>
            </w:r>
          </w:p>
        </w:tc>
        <w:tc>
          <w:tcPr>
            <w:tcW w:type="dxa" w:w="2160"/>
          </w:tcPr>
          <w:p>
            <w:r/>
            <w:r>
              <w:t>Persistence/access control</w:t>
            </w:r>
          </w:p>
        </w:tc>
        <w:tc>
          <w:tcPr>
            <w:tcW w:type="dxa" w:w="2160"/>
          </w:tcPr>
          <w:p>
            <w:r/>
            <w:r>
              <w:t>Durable retrieval and enforced post-closure behavior.</w:t>
            </w:r>
          </w:p>
        </w:tc>
      </w:tr>
      <w:tr>
        <w:tc>
          <w:tcPr>
            <w:tcW w:type="dxa" w:w="2160"/>
          </w:tcPr>
          <w:p>
            <w:r/>
            <w:r>
              <w:t>TSIR-10</w:t>
            </w:r>
          </w:p>
        </w:tc>
        <w:tc>
          <w:tcPr>
            <w:tcW w:type="dxa" w:w="2160"/>
          </w:tcPr>
          <w:p>
            <w:r/>
            <w:r>
              <w:t>Enforce role-aware access for reporter, safety lead, and corrective-action assignee capabilities.</w:t>
            </w:r>
          </w:p>
        </w:tc>
        <w:tc>
          <w:tcPr>
            <w:tcW w:type="dxa" w:w="2160"/>
          </w:tcPr>
          <w:p>
            <w:r/>
            <w:r>
              <w:t>Security/API/UI integration; release-critical</w:t>
            </w:r>
          </w:p>
        </w:tc>
        <w:tc>
          <w:tcPr>
            <w:tcW w:type="dxa" w:w="2160"/>
          </w:tcPr>
          <w:p>
            <w:r/>
            <w:r>
              <w:t>Unauthorized actions and direct API attempts are denied without exposing protected details.</w:t>
            </w:r>
          </w:p>
        </w:tc>
      </w:tr>
      <w:tr>
        <w:tc>
          <w:tcPr>
            <w:tcW w:type="dxa" w:w="2160"/>
          </w:tcPr>
          <w:p>
            <w:r/>
            <w:r>
              <w:t>TSIR-11</w:t>
            </w:r>
          </w:p>
        </w:tc>
        <w:tc>
          <w:tcPr>
            <w:tcW w:type="dxa" w:w="2160"/>
          </w:tcPr>
          <w:p>
            <w:r/>
            <w:r>
              <w:t>Confirm sensitive information is not unnecessarily exposed in list views, unauthorized views, client-visible errors, or application logs available to test users.</w:t>
            </w:r>
          </w:p>
        </w:tc>
        <w:tc>
          <w:tcPr>
            <w:tcW w:type="dxa" w:w="2160"/>
          </w:tcPr>
          <w:p>
            <w:r/>
            <w:r>
              <w:t>Security/privacy</w:t>
            </w:r>
          </w:p>
        </w:tc>
        <w:tc>
          <w:tcPr>
            <w:tcW w:type="dxa" w:w="2160"/>
          </w:tcPr>
          <w:p>
            <w:r/>
            <w:r>
              <w:t>Redacted/minimized display and safe error behavior. No production-like sensitive data used.</w:t>
            </w:r>
          </w:p>
        </w:tc>
      </w:tr>
      <w:tr>
        <w:tc>
          <w:tcPr>
            <w:tcW w:type="dxa" w:w="2160"/>
          </w:tcPr>
          <w:p>
            <w:r/>
            <w:r>
              <w:t>TSIR-12</w:t>
            </w:r>
          </w:p>
        </w:tc>
        <w:tc>
          <w:tcPr>
            <w:tcW w:type="dxa" w:w="2160"/>
          </w:tcPr>
          <w:p>
            <w:r/>
            <w:r>
              <w:t>Verify success, loading, empty, validation, authorization, and unexpected-failure feedback across the principal workflow.</w:t>
            </w:r>
          </w:p>
        </w:tc>
        <w:tc>
          <w:tcPr>
            <w:tcW w:type="dxa" w:w="2160"/>
          </w:tcPr>
          <w:p>
            <w:r/>
            <w:r>
              <w:t>UI; high</w:t>
            </w:r>
          </w:p>
        </w:tc>
        <w:tc>
          <w:tcPr>
            <w:tcW w:type="dxa" w:w="2160"/>
          </w:tcPr>
          <w:p>
            <w:r/>
            <w:r>
              <w:t>Clear, distinguishable, actionable feedback with no misleading success state.</w:t>
            </w:r>
          </w:p>
        </w:tc>
      </w:tr>
      <w:tr>
        <w:tc>
          <w:tcPr>
            <w:tcW w:type="dxa" w:w="2160"/>
          </w:tcPr>
          <w:p>
            <w:r/>
            <w:r>
              <w:t>TSIR-13</w:t>
            </w:r>
          </w:p>
        </w:tc>
        <w:tc>
          <w:tcPr>
            <w:tcW w:type="dxa" w:w="2160"/>
          </w:tcPr>
          <w:p>
            <w:r/>
            <w:r>
              <w:t>Exercise primary reporter and safety-lead workflows on supported mobile and desktop viewport classes.</w:t>
            </w:r>
          </w:p>
        </w:tc>
        <w:tc>
          <w:tcPr>
            <w:tcW w:type="dxa" w:w="2160"/>
          </w:tcPr>
          <w:p>
            <w:r/>
            <w:r>
              <w:t>Responsive/manual + automated smoke</w:t>
            </w:r>
          </w:p>
        </w:tc>
        <w:tc>
          <w:tcPr>
            <w:tcW w:type="dxa" w:w="2160"/>
          </w:tcPr>
          <w:p>
            <w:r/>
            <w:r>
              <w:t>No blocked primary action, inaccessible control, overlap, or loss of submitted data.</w:t>
            </w:r>
          </w:p>
        </w:tc>
      </w:tr>
      <w:tr>
        <w:tc>
          <w:tcPr>
            <w:tcW w:type="dxa" w:w="2160"/>
          </w:tcPr>
          <w:p>
            <w:r/>
            <w:r>
              <w:t>TSIR-14</w:t>
            </w:r>
          </w:p>
        </w:tc>
        <w:tc>
          <w:tcPr>
            <w:tcW w:type="dxa" w:w="2160"/>
          </w:tcPr>
          <w:p>
            <w:r/>
            <w:r>
              <w:t>Run automated regression for the complete happy path: report → triage/notification → corrective action → verification → investigation closure → closed-record review.</w:t>
            </w:r>
          </w:p>
        </w:tc>
        <w:tc>
          <w:tcPr>
            <w:tcW w:type="dxa" w:w="2160"/>
          </w:tcPr>
          <w:p>
            <w:r/>
            <w:r>
              <w:t>Automated E2E; release-critical</w:t>
            </w:r>
          </w:p>
        </w:tc>
        <w:tc>
          <w:tcPr>
            <w:tcW w:type="dxa" w:w="2160"/>
          </w:tcPr>
          <w:p>
            <w:r/>
            <w:r>
              <w:t>Repeatable Dev run, published results, and failure diagnostics.</w:t>
            </w:r>
          </w:p>
        </w:tc>
      </w:tr>
      <w:tr>
        <w:tc>
          <w:tcPr>
            <w:tcW w:type="dxa" w:w="2160"/>
          </w:tcPr>
          <w:p>
            <w:r/>
            <w:r>
              <w:t>TSIR-15</w:t>
            </w:r>
          </w:p>
        </w:tc>
        <w:tc>
          <w:tcPr>
            <w:tcW w:type="dxa" w:w="2160"/>
          </w:tcPr>
          <w:p>
            <w:r/>
            <w:r>
              <w:t>Verify all fixtures and seed records used by tests are explicitly tutorial/synthetic and non-sensitive; isolate and clean up automated test data.</w:t>
            </w:r>
          </w:p>
        </w:tc>
        <w:tc>
          <w:tcPr>
            <w:tcW w:type="dxa" w:w="2160"/>
          </w:tcPr>
          <w:p>
            <w:r/>
            <w:r>
              <w:t>Data quality</w:t>
            </w:r>
          </w:p>
        </w:tc>
        <w:tc>
          <w:tcPr>
            <w:tcW w:type="dxa" w:w="2160"/>
          </w:tcPr>
          <w:p>
            <w:r/>
            <w:r>
              <w:t>Test-run-owned records are identifiable and do not contaminate shared Dev validation.</w:t>
            </w:r>
          </w:p>
        </w:tc>
      </w:tr>
      <w:tr>
        <w:tc>
          <w:tcPr>
            <w:tcW w:type="dxa" w:w="2160"/>
          </w:tcPr>
          <w:p>
            <w:r/>
            <w:r>
              <w:t>TSIR-16</w:t>
            </w:r>
          </w:p>
        </w:tc>
        <w:tc>
          <w:tcPr>
            <w:tcW w:type="dxa" w:w="2160"/>
          </w:tcPr>
          <w:p>
            <w:r/>
            <w:r>
              <w:t>Confirm no occupational-health case-management, insurance-claim, or payroll workflow is exposed in this release.</w:t>
            </w:r>
          </w:p>
        </w:tc>
        <w:tc>
          <w:tcPr>
            <w:tcW w:type="dxa" w:w="2160"/>
          </w:tcPr>
          <w:p>
            <w:r/>
            <w:r>
              <w:t>Scope safeguard</w:t>
            </w:r>
          </w:p>
        </w:tc>
        <w:tc>
          <w:tcPr>
            <w:tcW w:type="dxa" w:w="2160"/>
          </w:tcPr>
          <w:p>
            <w:r/>
            <w:r>
              <w:t>Recorded inspection and, where applicable, automated navigation/API checks.</w:t>
            </w:r>
          </w:p>
        </w:tc>
      </w:tr>
    </w:tbl>
    <w:p/>
    <w:p>
      <w:pPr>
        <w:pStyle w:val="Heading1"/>
      </w:pPr>
      <w:r>
        <w:t>4. Test approach</w:t>
      </w:r>
    </w:p>
    <w:p>
      <w:pPr>
        <w:pStyle w:val="Heading2"/>
      </w:pPr>
      <w:r>
        <w:t>Automation</w:t>
      </w:r>
    </w:p>
    <w:p>
      <w:r>
        <w:t>Use the approved stack to implement a layered regression suite:</w:t>
      </w:r>
    </w:p>
    <w:p>
      <w:pPr>
        <w:pStyle w:val="ListBullet"/>
      </w:pPr>
      <w:r>
        <w:rPr>
          <w:b/>
        </w:rPr>
        <w:t>Angular + Ionic:</w:t>
      </w:r>
      <w:r>
        <w:t xml:space="preserve"> component and UI tests for input validation, conditional actions, responsive rendering, and feedback states.</w:t>
      </w:r>
    </w:p>
    <w:p>
      <w:pPr>
        <w:pStyle w:val="ListBullet"/>
      </w:pPr>
      <w:r>
        <w:rPr>
          <w:b/>
        </w:rPr>
        <w:t>FastAPI:</w:t>
      </w:r>
      <w:r>
        <w:t xml:space="preserve"> API contract, validation, authorization, error-mapping, workflow-transition, and persistence integration tests.</w:t>
      </w:r>
    </w:p>
    <w:p>
      <w:pPr>
        <w:pStyle w:val="ListBullet"/>
      </w:pPr>
      <w:r>
        <w:rPr>
          <w:b/>
        </w:rPr>
        <w:t>PostgreSQL:</w:t>
      </w:r>
      <w:r>
        <w:t xml:space="preserve"> integration tests validating workflow-state persistence, incident/action relationships, and closed-record retrieval.</w:t>
      </w:r>
    </w:p>
    <w:p>
      <w:pPr>
        <w:pStyle w:val="ListBullet"/>
      </w:pPr>
      <w:r>
        <w:rPr>
          <w:b/>
        </w:rPr>
        <w:t>End-to-end:</w:t>
      </w:r>
      <w:r>
        <w:t xml:space="preserve"> browser-based test automation appropriate to the delivered Angular/Ionic application, exercising the release-critical workflow in Dev.</w:t>
      </w:r>
    </w:p>
    <w:p>
      <w:r>
        <w:t>Test automation must:</w:t>
      </w:r>
    </w:p>
    <w:p>
      <w:pPr>
        <w:pStyle w:val="ListNumber"/>
      </w:pPr>
      <w:r>
        <w:t xml:space="preserve">Read host, route, timeout, feature-switch, and test-run settings from JSON under the application </w:t>
      </w:r>
      <w:r>
        <w:rPr>
          <w:rFonts w:ascii="Consolas" w:hAnsi="Consolas"/>
          <w:color w:val="1F2937"/>
        </w:rPr>
        <w:t>config</w:t>
      </w:r>
      <w:r>
        <w:t xml:space="preserve"> folder at runtime.</w:t>
      </w:r>
    </w:p>
    <w:p>
      <w:pPr>
        <w:pStyle w:val="ListNumber"/>
      </w:pPr>
      <w:r>
        <w:t>Obtain credentials only through the approved environment/identity/secret mechanism; never commit, log, or embed credentials.</w:t>
      </w:r>
    </w:p>
    <w:p>
      <w:pPr>
        <w:pStyle w:val="ListNumber"/>
      </w:pPr>
      <w:r>
        <w:t>Use synthetic, non-sensitive fixtures derived from the approved tutorial data model.</w:t>
      </w:r>
    </w:p>
    <w:p>
      <w:pPr>
        <w:pStyle w:val="ListNumber"/>
      </w:pPr>
      <w:r>
        <w:t>Publish test results and failure artifacts with sensitive content excluded or redacted.</w:t>
      </w:r>
    </w:p>
    <w:p>
      <w:pPr>
        <w:pStyle w:val="ListNumber"/>
      </w:pPr>
      <w:r>
        <w:t>Avoid assumptions about endpoint names, database table names, status labels, or notification providers until they are confirmed by the implementation and approved technical material.</w:t>
      </w:r>
    </w:p>
    <w:p>
      <w:pPr>
        <w:pStyle w:val="Heading2"/>
      </w:pPr>
      <w:r>
        <w:t>Manual/exploratory validation</w:t>
      </w:r>
    </w:p>
    <w:p>
      <w:r>
        <w:t>Perform targeted manual Dev validation for:</w:t>
      </w:r>
    </w:p>
    <w:p>
      <w:pPr>
        <w:pStyle w:val="ListBullet"/>
      </w:pPr>
      <w:r>
        <w:t>time-to-complete observation for the under-one-minute reporting outcome;</w:t>
      </w:r>
    </w:p>
    <w:p>
      <w:pPr>
        <w:pStyle w:val="ListBullet"/>
      </w:pPr>
      <w:r>
        <w:t>mobile interaction usability and layout behavior;</w:t>
      </w:r>
    </w:p>
    <w:p>
      <w:pPr>
        <w:pStyle w:val="ListBullet"/>
      </w:pPr>
      <w:r>
        <w:t>clarity of messages in success and failure paths;</w:t>
      </w:r>
    </w:p>
    <w:p>
      <w:pPr>
        <w:pStyle w:val="ListBullet"/>
      </w:pPr>
      <w:r>
        <w:t>role-specific workflow review;</w:t>
      </w:r>
    </w:p>
    <w:p>
      <w:pPr>
        <w:pStyle w:val="ListBullet"/>
      </w:pPr>
      <w:r>
        <w:t>visual review for accidental sensitive-data exposure; and</w:t>
      </w:r>
    </w:p>
    <w:p>
      <w:pPr>
        <w:pStyle w:val="ListBullet"/>
      </w:pPr>
      <w:r>
        <w:t>closed-record completeness against the approved design.</w:t>
      </w:r>
    </w:p>
    <w:p>
      <w:r>
        <w:t>This complements, rather than duplicates, the automated regression suite.</w:t>
      </w:r>
    </w:p>
    <w:p>
      <w:pPr>
        <w:pStyle w:val="Heading1"/>
      </w:pPr>
      <w:r>
        <w:t>5. Test data and environment controls</w:t>
      </w:r>
    </w:p>
    <w:p>
      <w:pPr>
        <w:pStyle w:val="ListBullet"/>
      </w:pPr>
      <w:r>
        <w:t>Use only fictional, clearly marked tutorial incident, user, notification, corrective-action, and closure records.</w:t>
      </w:r>
    </w:p>
    <w:p>
      <w:pPr>
        <w:pStyle w:val="ListBullet"/>
      </w:pPr>
      <w:r>
        <w:t>Do not use real health, insurance, payroll, personal, or incident data.</w:t>
      </w:r>
    </w:p>
    <w:p>
      <w:pPr>
        <w:pStyle w:val="ListBullet"/>
      </w:pPr>
      <w:r>
        <w:t>Each automated run should create data with a unique run marker, retain it only long enough for evidence collection, and clean it up according to the approved Dev-data policy.</w:t>
      </w:r>
    </w:p>
    <w:p>
      <w:pPr>
        <w:pStyle w:val="ListBullet"/>
      </w:pPr>
      <w:r>
        <w:t>Test notification behavior through a safe configured Dev mechanism. The plan validates recording and outcome handling; it does not assume a real external delivery provider exists.</w:t>
      </w:r>
    </w:p>
    <w:p>
      <w:pPr>
        <w:pStyle w:val="ListBullet"/>
      </w:pPr>
      <w:r>
        <w:t>Keep all test-environment URLs, feature settings, timing controls, and integration simulation behavior configurable. No values are to be hardcoded in test source.</w:t>
      </w:r>
    </w:p>
    <w:p>
      <w:pPr>
        <w:pStyle w:val="Heading1"/>
      </w:pPr>
      <w:r>
        <w:t>6. Entry, exit, and release recommendation</w:t>
      </w:r>
    </w:p>
    <w:p>
      <w:pPr>
        <w:pStyle w:val="Heading2"/>
      </w:pPr>
      <w:r>
        <w:t>Entry criteria</w:t>
      </w:r>
    </w:p>
    <w:p>
      <w:pPr>
        <w:pStyle w:val="ListNumber"/>
      </w:pPr>
      <w:r>
        <w:t>The Dev deployment is reachable and identifies the build/version under test.</w:t>
      </w:r>
    </w:p>
    <w:p>
      <w:pPr>
        <w:pStyle w:val="ListNumber"/>
      </w:pPr>
      <w:r>
        <w:t>The implementation provides the approved roles and end-to-end workflow.</w:t>
      </w:r>
    </w:p>
    <w:p>
      <w:pPr>
        <w:pStyle w:val="ListNumber"/>
      </w:pPr>
      <w:r>
        <w:t>The final acceptance criteria, workflow statuses/transitions, required fields, and closure prerequisites are available.</w:t>
      </w:r>
    </w:p>
    <w:p>
      <w:pPr>
        <w:pStyle w:val="ListNumber"/>
      </w:pPr>
      <w:r>
        <w:t>Safe synthetic data and role-specific test access are available through approved mechanisms.</w:t>
      </w:r>
    </w:p>
    <w:p>
      <w:pPr>
        <w:pStyle w:val="ListNumber"/>
      </w:pPr>
      <w:r>
        <w:t>The occupational-health work item conflict is resolved or explicitly excluded from the release baseline.</w:t>
      </w:r>
    </w:p>
    <w:p>
      <w:pPr>
        <w:pStyle w:val="Heading2"/>
      </w:pPr>
      <w:r>
        <w:t>Exit criteria</w:t>
      </w:r>
    </w:p>
    <w:p>
      <w:r>
        <w:t xml:space="preserve">Recommend the Dev test stage as </w:t>
      </w:r>
      <w:r>
        <w:rPr>
          <w:b/>
        </w:rPr>
        <w:t>passed</w:t>
      </w:r>
      <w:r>
        <w:t xml:space="preserve"> only when:</w:t>
      </w:r>
    </w:p>
    <w:p>
      <w:pPr>
        <w:pStyle w:val="ListBullet"/>
      </w:pPr>
      <w:r>
        <w:t>all release-critical cases TSIR-01 through TSIR-11 and TSIR-14 pass;</w:t>
      </w:r>
    </w:p>
    <w:p>
      <w:pPr>
        <w:pStyle w:val="ListBullet"/>
      </w:pPr>
      <w:r>
        <w:t>TSIR-12 through TSIR-16 are completed with no unresolved issue that blocks a stated requirement or release boundary;</w:t>
      </w:r>
    </w:p>
    <w:p>
      <w:pPr>
        <w:pStyle w:val="ListBullet"/>
      </w:pPr>
      <w:r>
        <w:t>automated unit, API/integration, and end-to-end results are published and traceable to the tested build;</w:t>
      </w:r>
    </w:p>
    <w:p>
      <w:pPr>
        <w:pStyle w:val="ListBullet"/>
      </w:pPr>
      <w:r>
        <w:t>no open defect permits unauthorized access, exposes sensitive information, creates a false success confirmation, corrupts the workflow record, bypasses required verification, or prevents the primary workflow; and</w:t>
      </w:r>
    </w:p>
    <w:p>
      <w:pPr>
        <w:pStyle w:val="ListBullet"/>
      </w:pPr>
      <w:r>
        <w:t>test evidence is linked to the corresponding Azure DevOps test cases and Test tasks.</w:t>
      </w:r>
    </w:p>
    <w:p>
      <w:r>
        <w:t>Any deviation should be documented as a reviewed risk with an owner and disposition; it must not be silently accepted.</w:t>
      </w:r>
    </w:p>
    <w:p>
      <w:pPr>
        <w:pStyle w:val="Heading1"/>
      </w:pPr>
      <w:r>
        <w:t>7. Decisions required before execution</w:t>
      </w:r>
    </w:p>
    <w:p>
      <w:pPr>
        <w:pStyle w:val="ListNumber"/>
      </w:pPr>
      <w:r>
        <w:rPr>
          <w:b/>
        </w:rPr>
        <w:t>Scope correction:</w:t>
      </w:r>
      <w:r>
        <w:t xml:space="preserve"> Confirm removal, closure, or reclassification of active work item 1741 (https://dev.azure.com/csdmichael/Tutorial%20Safety%20Incident%20Reporting/_workitems/edit/1741), since occupational-health case management is explicitly out of scope.</w:t>
      </w:r>
    </w:p>
    <w:p>
      <w:pPr>
        <w:pStyle w:val="ListNumber"/>
      </w:pPr>
      <w:r>
        <w:rPr>
          <w:b/>
        </w:rPr>
        <w:t>Workflow definition:</w:t>
      </w:r>
      <w:r>
        <w:t xml:space="preserve"> Approve role permissions, required incident fields, lifecycle statuses, permitted transitions, notification criteria, verification evidence, and closure prerequisites.</w:t>
      </w:r>
    </w:p>
    <w:p>
      <w:pPr>
        <w:pStyle w:val="ListNumber"/>
      </w:pPr>
      <w:r>
        <w:rPr>
          <w:b/>
        </w:rPr>
        <w:t>Compliance boundary:</w:t>
      </w:r>
      <w:r>
        <w:t xml:space="preserve"> Define the intended meaning of “supports statutory reporting,” including the required closed-record content and retention/audit expectations. This plan validates the application record; it does not claim jurisdiction-specific statutory compliance without an approved jurisdictional specification.</w:t>
      </w:r>
    </w:p>
    <w:p>
      <w:pPr>
        <w:pStyle w:val="ListNumber"/>
      </w:pPr>
      <w:r>
        <w:rPr>
          <w:b/>
        </w:rPr>
        <w:t>UX/accessibility baseline:</w:t>
      </w:r>
      <w:r>
        <w:t xml:space="preserve"> Supply the missing UX mockup and the accessibility standard or acceptance criteria to enable objective UI conformance testing.</w:t>
      </w:r>
    </w:p>
    <w:p>
      <w:pPr>
        <w:pStyle w:val="ListNumber"/>
      </w:pPr>
      <w:r>
        <w:rPr>
          <w:b/>
        </w:rPr>
        <w:t>Technical baseline:</w:t>
      </w:r>
      <w:r>
        <w:t xml:space="preserve"> Supply the missing technical requirements/API contract and confirm the GitHub source/workflow access path so implementation-specific automation can be reviewed and executed.</w:t>
      </w:r>
    </w:p>
    <w:p>
      <w:r>
        <w:rPr>
          <w:b/>
        </w:rPr>
        <w:t>Recommendation:</w:t>
      </w:r>
      <w:r>
        <w:t xml:space="preserve"> Approve this proposal with the scope correction and specification decisions above as test-stage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