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67B8"/>
        </w:rPr>
        <w:t>Delivery Plan and Backlog</w:t>
      </w:r>
    </w:p>
    <w:p>
      <w:r>
        <w:rPr>
          <w:i/>
          <w:color w:val="667085"/>
        </w:rPr>
        <w:t>Tutorial Safety Incident Reporting · Generated by the Agentic SDLC Factory on October 26, 2026</w:t>
      </w:r>
    </w:p>
    <w:p>
      <w:pPr>
        <w:pStyle w:val="Heading1"/>
      </w:pPr>
      <w:r>
        <w:t>Plan Proposal — Tutorial Safety Incident Reporting</w:t>
      </w:r>
    </w:p>
    <w:p>
      <w:r>
        <w:rPr>
          <w:b/>
        </w:rPr>
        <w:t>Decision requested:</w:t>
      </w:r>
      <w:r>
        <w:t xml:space="preserve"> Approve this plan to begin architecture, backlog publication, and implementation planning for the Dev environment.</w:t>
      </w:r>
    </w:p>
    <w:p>
      <w:pPr>
        <w:pStyle w:val="Heading1"/>
      </w:pPr>
      <w:r>
        <w:t>1. Evidence and current state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Finding</w:t>
            </w:r>
          </w:p>
        </w:tc>
      </w:tr>
      <w:tr>
        <w:tc>
          <w:tcPr>
            <w:tcW w:type="dxa" w:w="4320"/>
          </w:tcPr>
          <w:p>
            <w:r/>
            <w:r>
              <w:t>Approved requirements intake</w:t>
            </w:r>
          </w:p>
        </w:tc>
        <w:tc>
          <w:tcPr>
            <w:tcW w:type="dxa" w:w="4320"/>
          </w:tcPr>
          <w:p>
            <w:r/>
            <w:r>
              <w:t>Defines the end-to-end workflow: rapid incident reporting, safety-lead triage and notification, corrective-action tracking through verification, and investigation closure into a statutory-reporting-supporting record.</w:t>
            </w:r>
          </w:p>
        </w:tc>
      </w:tr>
      <w:tr>
        <w:tc>
          <w:tcPr>
            <w:tcW w:type="dxa" w:w="4320"/>
          </w:tcPr>
          <w:p>
            <w:r/>
            <w:r>
              <w:t>Project context</w:t>
            </w:r>
          </w:p>
        </w:tc>
        <w:tc>
          <w:tcPr>
            <w:tcW w:type="dxa" w:w="4320"/>
          </w:tcPr>
          <w:p>
            <w:r/>
            <w:r>
              <w:t>Selected stack is Angular + Ionic/TypeScript, FastAPI, and PostgreSQL.</w:t>
            </w:r>
          </w:p>
        </w:tc>
      </w:tr>
      <w:tr>
        <w:tc>
          <w:tcPr>
            <w:tcW w:type="dxa" w:w="4320"/>
          </w:tcPr>
          <w:p>
            <w:r/>
            <w:r>
              <w:t>GitHub</w:t>
            </w:r>
          </w:p>
        </w:tc>
        <w:tc>
          <w:tcPr>
            <w:tcW w:type="dxa" w:w="4320"/>
          </w:tcPr>
          <w:p>
            <w:r/>
            <w:r>
              <w:t xml:space="preserve">Repository </w:t>
            </w:r>
            <w:r>
              <w:rPr>
                <w:rFonts w:ascii="Consolas" w:hAnsi="Consolas"/>
                <w:color w:val="1F2937"/>
              </w:rPr>
              <w:t>csdmichael/tutorial-safety-incident-reporting</w:t>
            </w:r>
            <w:r>
              <w:t xml:space="preserve"> exists, has </w:t>
            </w:r>
            <w:r>
              <w:rPr>
                <w:rFonts w:ascii="Consolas" w:hAnsi="Consolas"/>
                <w:color w:val="1F2937"/>
              </w:rPr>
              <w:t>main</w:t>
            </w:r>
            <w:r>
              <w:t xml:space="preserve"> at commit </w:t>
            </w:r>
            <w:r>
              <w:rPr>
                <w:rFonts w:ascii="Consolas" w:hAnsi="Consolas"/>
                <w:color w:val="1F2937"/>
              </w:rPr>
              <w:t>973a6d2</w:t>
            </w:r>
            <w:r>
              <w:t xml:space="preserve">, contains </w:t>
            </w:r>
            <w:r>
              <w:rPr>
                <w:rFonts w:ascii="Consolas" w:hAnsi="Consolas"/>
                <w:color w:val="1F2937"/>
              </w:rPr>
              <w:t>README.md</w:t>
            </w:r>
            <w:r>
              <w:t>, has no open pull requests, and has no GitHub Actions workflows.</w:t>
            </w:r>
          </w:p>
        </w:tc>
      </w:tr>
      <w:tr>
        <w:tc>
          <w:tcPr>
            <w:tcW w:type="dxa" w:w="4320"/>
          </w:tcPr>
          <w:p>
            <w:r/>
            <w:r>
              <w:t>Azure DevOps</w:t>
            </w:r>
          </w:p>
        </w:tc>
        <w:tc>
          <w:tcPr>
            <w:tcW w:type="dxa" w:w="4320"/>
          </w:tcPr>
          <w:p>
            <w:r/>
            <w:r>
              <w:t>Project and an identically named Azure Repos repository exist, but the Azure repo has no branches and the project has no work items.</w:t>
            </w:r>
          </w:p>
        </w:tc>
      </w:tr>
      <w:tr>
        <w:tc>
          <w:tcPr>
            <w:tcW w:type="dxa" w:w="4320"/>
          </w:tcPr>
          <w:p>
            <w:r/>
            <w:r>
              <w:t>Intake coverage</w:t>
            </w:r>
          </w:p>
        </w:tc>
        <w:tc>
          <w:tcPr>
            <w:tcW w:type="dxa" w:w="4320"/>
          </w:tcPr>
          <w:p>
            <w:r/>
            <w:r>
              <w:t>Functional requirements are supplied; technical requirements and UX mockups are absent.</w:t>
            </w:r>
          </w:p>
        </w:tc>
      </w:tr>
    </w:tbl>
    <w:p/>
    <w:p>
      <w:r>
        <w:rPr>
          <w:b/>
        </w:rPr>
        <w:t>Repository governance clarification:</w:t>
      </w:r>
      <w:r>
        <w:t xml:space="preserve"> GitHub is identified as the source-code system of record, while Azure DevOps is the work-item and test-management system of record. The empty Azure Repos repository should not be used for implementation unless a governance owner explicitly changes the system-of-record mapping.</w:t>
      </w:r>
    </w:p>
    <w:p>
      <w:pPr>
        <w:pStyle w:val="Heading1"/>
      </w:pPr>
      <w:r>
        <w:t>2. Outcome and release boundary</w:t>
      </w:r>
    </w:p>
    <w:p>
      <w:pPr>
        <w:pStyle w:val="Heading2"/>
      </w:pPr>
      <w:r>
        <w:t>In scope</w:t>
      </w:r>
    </w:p>
    <w:p>
      <w:r>
        <w:t>A responsive mobile-first tutorial application enabling:</w:t>
      </w:r>
    </w:p>
    <w:p>
      <w:pPr>
        <w:pStyle w:val="ListNumber"/>
      </w:pPr>
      <w:r>
        <w:t>A site worker to submit an incident report quickly.</w:t>
      </w:r>
    </w:p>
    <w:p>
      <w:pPr>
        <w:pStyle w:val="ListNumber"/>
      </w:pPr>
      <w:r>
        <w:t>A safety lead to review, triage, and issue notifications.</w:t>
      </w:r>
    </w:p>
    <w:p>
      <w:pPr>
        <w:pStyle w:val="ListNumber"/>
      </w:pPr>
      <w:r>
        <w:t>Assigned users to manage corrective actions to verified completion.</w:t>
      </w:r>
    </w:p>
    <w:p>
      <w:pPr>
        <w:pStyle w:val="ListNumber"/>
      </w:pPr>
      <w:r>
        <w:t>A safety lead to complete the investigation and close it into a durable reporting record.</w:t>
      </w:r>
    </w:p>
    <w:p>
      <w:pPr>
        <w:pStyle w:val="ListNumber"/>
      </w:pPr>
      <w:r>
        <w:t>Clear success and failure feedback, input validation, realistic non-sensitive tutorial data, and automated coverage of the main workflow.</w:t>
      </w:r>
    </w:p>
    <w:p>
      <w:pPr>
        <w:pStyle w:val="Heading2"/>
      </w:pPr>
      <w:r>
        <w:t>Out of scope</w:t>
      </w:r>
    </w:p>
    <w:p>
      <w:r>
        <w:t>The following remain downstream or excluded from this release, as stated in the intake:</w:t>
      </w:r>
    </w:p>
    <w:p>
      <w:pPr>
        <w:pStyle w:val="ListBullet"/>
      </w:pPr>
      <w:r>
        <w:t>Occupational-health case management</w:t>
      </w:r>
    </w:p>
    <w:p>
      <w:pPr>
        <w:pStyle w:val="ListBullet"/>
      </w:pPr>
      <w:r>
        <w:t>Insurance claims</w:t>
      </w:r>
    </w:p>
    <w:p>
      <w:pPr>
        <w:pStyle w:val="ListBullet"/>
      </w:pPr>
      <w:r>
        <w:t>Payroll</w:t>
      </w:r>
    </w:p>
    <w:p>
      <w:pPr>
        <w:pStyle w:val="ListBullet"/>
      </w:pPr>
      <w:r>
        <w:t>Production integrations to those systems</w:t>
      </w:r>
    </w:p>
    <w:p>
      <w:pPr>
        <w:pStyle w:val="ListBullet"/>
      </w:pPr>
      <w:r>
        <w:t>A jurisdiction-specific statutory filing or submission integration</w:t>
      </w:r>
    </w:p>
    <w:p>
      <w:r>
        <w:t>The application will retain the closed investigation record and relevant audit history needed to support a later statutory reporting process; it will not claim statutory compliance until applicable jurisdictional, retention, and reporting requirements are approved.</w:t>
      </w:r>
    </w:p>
    <w:p>
      <w:pPr>
        <w:pStyle w:val="Heading1"/>
      </w:pPr>
      <w:r>
        <w:t>3. Proposed functional backlog</w:t>
      </w:r>
    </w:p>
    <w:p>
      <w:pPr>
        <w:pStyle w:val="Heading2"/>
      </w:pPr>
      <w:r>
        <w:t>Epic 1 — Incident reporting</w:t>
      </w:r>
    </w:p>
    <w:p>
      <w:r>
        <w:rPr>
          <w:b/>
        </w:rPr>
        <w:t>Goal:</w:t>
      </w:r>
      <w:r>
        <w:t xml:space="preserve"> Enable a worker to capture and submit an incident from mobile or desktop.</w:t>
      </w:r>
    </w:p>
    <w:p>
      <w:r>
        <w:rPr>
          <w:b/>
        </w:rPr>
        <w:t>Stories</w:t>
      </w:r>
    </w:p>
    <w:p>
      <w:pPr>
        <w:pStyle w:val="ListBullet"/>
      </w:pPr>
      <w:r>
        <w:t>Start a new incident report and enter the information required by the approved report form.</w:t>
      </w:r>
    </w:p>
    <w:p>
      <w:pPr>
        <w:pStyle w:val="ListBullet"/>
      </w:pPr>
      <w:r>
        <w:t>Validate required and malformed values before submission.</w:t>
      </w:r>
    </w:p>
    <w:p>
      <w:pPr>
        <w:pStyle w:val="ListBullet"/>
      </w:pPr>
      <w:r>
        <w:t>Save the submitted report with a unique reference and show a clear confirmation or actionable failure message.</w:t>
      </w:r>
    </w:p>
    <w:p>
      <w:pPr>
        <w:pStyle w:val="ListBullet"/>
      </w:pPr>
      <w:r>
        <w:t>View submitted incident details and the current lifecycle status.</w:t>
      </w:r>
    </w:p>
    <w:p>
      <w:r>
        <w:rPr>
          <w:b/>
        </w:rPr>
        <w:t>Acceptance outcomes</w:t>
      </w:r>
    </w:p>
    <w:p>
      <w:pPr>
        <w:pStyle w:val="ListBullet"/>
      </w:pPr>
      <w:r>
        <w:t>The reporting experience works at mobile and desktop widths.</w:t>
      </w:r>
    </w:p>
    <w:p>
      <w:pPr>
        <w:pStyle w:val="ListBullet"/>
      </w:pPr>
      <w:r>
        <w:t>Invalid input is identified next to the affected field and does not create a report.</w:t>
      </w:r>
    </w:p>
    <w:p>
      <w:pPr>
        <w:pStyle w:val="ListBullet"/>
      </w:pPr>
      <w:r>
        <w:t>A successful submission gives the reporter a reference and next-step/status feedback.</w:t>
      </w:r>
    </w:p>
    <w:p>
      <w:pPr>
        <w:pStyle w:val="ListBullet"/>
      </w:pPr>
      <w:r>
        <w:t>The rapid-report objective is assessed against an approved final form and usability measure; it cannot be objectively verified from the current requirements alone.</w:t>
      </w:r>
    </w:p>
    <w:p>
      <w:pPr>
        <w:pStyle w:val="Heading2"/>
      </w:pPr>
      <w:r>
        <w:t>Epic 2 — Triage and notification</w:t>
      </w:r>
    </w:p>
    <w:p>
      <w:r>
        <w:rPr>
          <w:b/>
        </w:rPr>
        <w:t>Goal:</w:t>
      </w:r>
      <w:r>
        <w:t xml:space="preserve"> Enable the safety lead to prioritize reports and record notification activity.</w:t>
      </w:r>
    </w:p>
    <w:p>
      <w:r>
        <w:rPr>
          <w:b/>
        </w:rPr>
        <w:t>Stories</w:t>
      </w:r>
    </w:p>
    <w:p>
      <w:pPr>
        <w:pStyle w:val="ListBullet"/>
      </w:pPr>
      <w:r>
        <w:t>Present a triage queue of submitted incidents.</w:t>
      </w:r>
    </w:p>
    <w:p>
      <w:pPr>
        <w:pStyle w:val="ListBullet"/>
      </w:pPr>
      <w:r>
        <w:t>Review and update triage information, including priority/classification fields approved in the final data model.</w:t>
      </w:r>
    </w:p>
    <w:p>
      <w:pPr>
        <w:pStyle w:val="ListBullet"/>
      </w:pPr>
      <w:r>
        <w:t>Record notification decisions and delivery status/history.</w:t>
      </w:r>
    </w:p>
    <w:p>
      <w:pPr>
        <w:pStyle w:val="ListBullet"/>
      </w:pPr>
      <w:r>
        <w:t>Provide meaningful feedback when triage or notification actions fail.</w:t>
      </w:r>
    </w:p>
    <w:p>
      <w:r>
        <w:rPr>
          <w:b/>
        </w:rPr>
        <w:t>Acceptance outcomes</w:t>
      </w:r>
    </w:p>
    <w:p>
      <w:pPr>
        <w:pStyle w:val="ListBullet"/>
      </w:pPr>
      <w:r>
        <w:t>A safety lead can distinguish untriaged from triaged incidents.</w:t>
      </w:r>
    </w:p>
    <w:p>
      <w:pPr>
        <w:pStyle w:val="ListBullet"/>
      </w:pPr>
      <w:r>
        <w:t>Triage changes are attributable and time-stamped.</w:t>
      </w:r>
    </w:p>
    <w:p>
      <w:pPr>
        <w:pStyle w:val="ListBullet"/>
      </w:pPr>
      <w:r>
        <w:t>Notification activity is recorded without embedding credentials or external-service configuration in code.</w:t>
      </w:r>
    </w:p>
    <w:p>
      <w:pPr>
        <w:pStyle w:val="Heading2"/>
      </w:pPr>
      <w:r>
        <w:t>Epic 3 — Corrective actions</w:t>
      </w:r>
    </w:p>
    <w:p>
      <w:r>
        <w:rPr>
          <w:b/>
        </w:rPr>
        <w:t>Goal:</w:t>
      </w:r>
      <w:r>
        <w:t xml:space="preserve"> Track work arising from an incident until independently verified.</w:t>
      </w:r>
    </w:p>
    <w:p>
      <w:r>
        <w:rPr>
          <w:b/>
        </w:rPr>
        <w:t>Stories</w:t>
      </w:r>
    </w:p>
    <w:p>
      <w:pPr>
        <w:pStyle w:val="ListBullet"/>
      </w:pPr>
      <w:r>
        <w:t>Create, assign, update, and review corrective actions linked to an incident.</w:t>
      </w:r>
    </w:p>
    <w:p>
      <w:pPr>
        <w:pStyle w:val="ListBullet"/>
      </w:pPr>
      <w:r>
        <w:t>Track action progress and evidence/notes permitted by the approved data policy.</w:t>
      </w:r>
    </w:p>
    <w:p>
      <w:pPr>
        <w:pStyle w:val="ListBullet"/>
      </w:pPr>
      <w:r>
        <w:t>Verify completion before allowing the action to be treated as complete.</w:t>
      </w:r>
    </w:p>
    <w:p>
      <w:pPr>
        <w:pStyle w:val="ListBullet"/>
      </w:pPr>
      <w:r>
        <w:t>Surface overdue or incomplete actions according to configurable rules.</w:t>
      </w:r>
    </w:p>
    <w:p>
      <w:r>
        <w:rPr>
          <w:b/>
        </w:rPr>
        <w:t>Acceptance outcomes</w:t>
      </w:r>
    </w:p>
    <w:p>
      <w:pPr>
        <w:pStyle w:val="ListBullet"/>
      </w:pPr>
      <w:r>
        <w:t>Every corrective action remains traceable to its incident.</w:t>
      </w:r>
    </w:p>
    <w:p>
      <w:pPr>
        <w:pStyle w:val="ListBullet"/>
      </w:pPr>
      <w:r>
        <w:t>Completion and verification are distinct lifecycle steps.</w:t>
      </w:r>
    </w:p>
    <w:p>
      <w:pPr>
        <w:pStyle w:val="ListBullet"/>
      </w:pPr>
      <w:r>
        <w:t>The application prevents investigation closure while required corrective actions remain unverified, subject to a confirmed exception policy.</w:t>
      </w:r>
    </w:p>
    <w:p>
      <w:pPr>
        <w:pStyle w:val="Heading2"/>
      </w:pPr>
      <w:r>
        <w:t>Epic 4 — Investigation closure and reporting record</w:t>
      </w:r>
    </w:p>
    <w:p>
      <w:r>
        <w:rPr>
          <w:b/>
        </w:rPr>
        <w:t>Goal:</w:t>
      </w:r>
      <w:r>
        <w:t xml:space="preserve"> Close an investigation into a durable, reviewable record.</w:t>
      </w:r>
    </w:p>
    <w:p>
      <w:r>
        <w:rPr>
          <w:b/>
        </w:rPr>
        <w:t>Stories</w:t>
      </w:r>
    </w:p>
    <w:p>
      <w:pPr>
        <w:pStyle w:val="ListBullet"/>
      </w:pPr>
      <w:r>
        <w:t>Capture investigation findings and closure rationale.</w:t>
      </w:r>
    </w:p>
    <w:p>
      <w:pPr>
        <w:pStyle w:val="ListBullet"/>
      </w:pPr>
      <w:r>
        <w:t>Assemble the report, triage, notification, corrective-action, and verification history into the closed incident record.</w:t>
      </w:r>
    </w:p>
    <w:p>
      <w:pPr>
        <w:pStyle w:val="ListBullet"/>
      </w:pPr>
      <w:r>
        <w:t>Restrict closure to authorized users and enforce closure preconditions.</w:t>
      </w:r>
    </w:p>
    <w:p>
      <w:pPr>
        <w:pStyle w:val="ListBullet"/>
      </w:pPr>
      <w:r>
        <w:t>Provide a read-only closed-record view appropriate for later reporting/export design.</w:t>
      </w:r>
    </w:p>
    <w:p>
      <w:r>
        <w:rPr>
          <w:b/>
        </w:rPr>
        <w:t>Acceptance outcomes</w:t>
      </w:r>
    </w:p>
    <w:p>
      <w:pPr>
        <w:pStyle w:val="ListBullet"/>
      </w:pPr>
      <w:r>
        <w:t>Closed records preserve lifecycle history and cannot be silently altered.</w:t>
      </w:r>
    </w:p>
    <w:p>
      <w:pPr>
        <w:pStyle w:val="ListBullet"/>
      </w:pPr>
      <w:r>
        <w:t>The system clearly explains blocked closure conditions.</w:t>
      </w:r>
    </w:p>
    <w:p>
      <w:pPr>
        <w:pStyle w:val="ListBullet"/>
      </w:pPr>
      <w:r>
        <w:t>Closed records can be retrieved for authorized review.</w:t>
      </w:r>
    </w:p>
    <w:p>
      <w:pPr>
        <w:pStyle w:val="Heading2"/>
      </w:pPr>
      <w:r>
        <w:t>Epic 5 — Foundation, security, quality, and delivery</w:t>
      </w:r>
    </w:p>
    <w:p>
      <w:r>
        <w:rPr>
          <w:b/>
        </w:rPr>
        <w:t>Goal:</w:t>
      </w:r>
      <w:r>
        <w:t xml:space="preserve"> Provide a maintainable tutorial system with protected data and repeatable verification.</w:t>
      </w:r>
    </w:p>
    <w:p>
      <w:r>
        <w:rPr>
          <w:b/>
        </w:rPr>
        <w:t>Stories</w:t>
      </w:r>
    </w:p>
    <w:p>
      <w:pPr>
        <w:pStyle w:val="ListBullet"/>
      </w:pPr>
      <w:r>
        <w:t>Establish the Angular/Ionic client, FastAPI service, PostgreSQL persistence, migrations, and configuration structure.</w:t>
      </w:r>
    </w:p>
    <w:p>
      <w:pPr>
        <w:pStyle w:val="ListBullet"/>
      </w:pPr>
      <w:r>
        <w:t>Implement application authentication and authorization once the identity approach and permitted roles are approved.</w:t>
      </w:r>
    </w:p>
    <w:p>
      <w:pPr>
        <w:pStyle w:val="ListBullet"/>
      </w:pPr>
      <w:r>
        <w:t>Apply server-side authorization and validation for every protected operation; do not rely solely on client controls.</w:t>
      </w:r>
    </w:p>
    <w:p>
      <w:pPr>
        <w:pStyle w:val="ListBullet"/>
      </w:pPr>
      <w:r>
        <w:t>Add audit events for material lifecycle changes.</w:t>
      </w:r>
    </w:p>
    <w:p>
      <w:pPr>
        <w:pStyle w:val="ListBullet"/>
      </w:pPr>
      <w:r>
        <w:t>Provide realistic, synthetic seed data only.</w:t>
      </w:r>
    </w:p>
    <w:p>
      <w:pPr>
        <w:pStyle w:val="ListBullet"/>
      </w:pPr>
      <w:r>
        <w:t>Add unit, API/integration, and end-to-end tests for the primary workflow.</w:t>
      </w:r>
    </w:p>
    <w:p>
      <w:pPr>
        <w:pStyle w:val="ListBullet"/>
      </w:pPr>
      <w:r>
        <w:t>Add GitHub Actions validation workflow(s), with non-secret configuration and secrets sourced only from secure runtime facilities.</w:t>
      </w:r>
    </w:p>
    <w:p>
      <w:pPr>
        <w:pStyle w:val="ListBullet"/>
      </w:pPr>
      <w:r>
        <w:t>Document local setup, configuration contract, test execution, and operational handoff.</w:t>
      </w:r>
    </w:p>
    <w:p>
      <w:pPr>
        <w:pStyle w:val="Heading1"/>
      </w:pPr>
      <w:r>
        <w:t>4. Delivery sequence and dependencies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Increment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Depends on</w:t>
            </w:r>
          </w:p>
        </w:tc>
      </w:tr>
      <w:tr>
        <w:tc>
          <w:tcPr>
            <w:tcW w:type="dxa" w:w="2880"/>
          </w:tcPr>
          <w:p>
            <w:r/>
            <w:r>
              <w:t>1. Foundation</w:t>
            </w:r>
          </w:p>
        </w:tc>
        <w:tc>
          <w:tcPr>
            <w:tcW w:type="dxa" w:w="2880"/>
          </w:tcPr>
          <w:p>
            <w:r/>
            <w:r>
              <w:t>Repository structure, configuration files, database migrations, base UI/API, health checks, seed-data approach, CI validation</w:t>
            </w:r>
          </w:p>
        </w:tc>
        <w:tc>
          <w:tcPr>
            <w:tcW w:type="dxa" w:w="2880"/>
          </w:tcPr>
          <w:p>
            <w:r/>
            <w:r>
              <w:t>Technical decisions below</w:t>
            </w:r>
          </w:p>
        </w:tc>
      </w:tr>
      <w:tr>
        <w:tc>
          <w:tcPr>
            <w:tcW w:type="dxa" w:w="2880"/>
          </w:tcPr>
          <w:p>
            <w:r/>
            <w:r>
              <w:t>2. Report</w:t>
            </w:r>
          </w:p>
        </w:tc>
        <w:tc>
          <w:tcPr>
            <w:tcW w:type="dxa" w:w="2880"/>
          </w:tcPr>
          <w:p>
            <w:r/>
            <w:r>
              <w:t>End-to-end incident creation, validation, confirmation, and viewing</w:t>
            </w:r>
          </w:p>
        </w:tc>
        <w:tc>
          <w:tcPr>
            <w:tcW w:type="dxa" w:w="2880"/>
          </w:tcPr>
          <w:p>
            <w:r/>
            <w:r>
              <w:t>Approved report fields and data classification</w:t>
            </w:r>
          </w:p>
        </w:tc>
      </w:tr>
      <w:tr>
        <w:tc>
          <w:tcPr>
            <w:tcW w:type="dxa" w:w="2880"/>
          </w:tcPr>
          <w:p>
            <w:r/>
            <w:r>
              <w:t>3. Triage</w:t>
            </w:r>
          </w:p>
        </w:tc>
        <w:tc>
          <w:tcPr>
            <w:tcW w:type="dxa" w:w="2880"/>
          </w:tcPr>
          <w:p>
            <w:r/>
            <w:r>
              <w:t>Triage queue, decisions, and notification records</w:t>
            </w:r>
          </w:p>
        </w:tc>
        <w:tc>
          <w:tcPr>
            <w:tcW w:type="dxa" w:w="2880"/>
          </w:tcPr>
          <w:p>
            <w:r/>
            <w:r>
              <w:t>Role and notification policy</w:t>
            </w:r>
          </w:p>
        </w:tc>
      </w:tr>
      <w:tr>
        <w:tc>
          <w:tcPr>
            <w:tcW w:type="dxa" w:w="2880"/>
          </w:tcPr>
          <w:p>
            <w:r/>
            <w:r>
              <w:t>4. Actions</w:t>
            </w:r>
          </w:p>
        </w:tc>
        <w:tc>
          <w:tcPr>
            <w:tcW w:type="dxa" w:w="2880"/>
          </w:tcPr>
          <w:p>
            <w:r/>
            <w:r>
              <w:t>Corrective-action lifecycle and verification</w:t>
            </w:r>
          </w:p>
        </w:tc>
        <w:tc>
          <w:tcPr>
            <w:tcW w:type="dxa" w:w="2880"/>
          </w:tcPr>
          <w:p>
            <w:r/>
            <w:r>
              <w:t>Assignment and verification rules</w:t>
            </w:r>
          </w:p>
        </w:tc>
      </w:tr>
      <w:tr>
        <w:tc>
          <w:tcPr>
            <w:tcW w:type="dxa" w:w="2880"/>
          </w:tcPr>
          <w:p>
            <w:r/>
            <w:r>
              <w:t>5. Closure</w:t>
            </w:r>
          </w:p>
        </w:tc>
        <w:tc>
          <w:tcPr>
            <w:tcW w:type="dxa" w:w="2880"/>
          </w:tcPr>
          <w:p>
            <w:r/>
            <w:r>
              <w:t>Investigation closure, immutable lifecycle history, closed record</w:t>
            </w:r>
          </w:p>
        </w:tc>
        <w:tc>
          <w:tcPr>
            <w:tcW w:type="dxa" w:w="2880"/>
          </w:tcPr>
          <w:p>
            <w:r/>
            <w:r>
              <w:t>Closure criteria and reporting-record requirements</w:t>
            </w:r>
          </w:p>
        </w:tc>
      </w:tr>
      <w:tr>
        <w:tc>
          <w:tcPr>
            <w:tcW w:type="dxa" w:w="2880"/>
          </w:tcPr>
          <w:p>
            <w:r/>
            <w:r>
              <w:t>6. Hardening</w:t>
            </w:r>
          </w:p>
        </w:tc>
        <w:tc>
          <w:tcPr>
            <w:tcW w:type="dxa" w:w="2880"/>
          </w:tcPr>
          <w:p>
            <w:r/>
            <w:r>
              <w:t>Accessibility/responsive review, automated workflow tests, security review, deployment readiness</w:t>
            </w:r>
          </w:p>
        </w:tc>
        <w:tc>
          <w:tcPr>
            <w:tcW w:type="dxa" w:w="2880"/>
          </w:tcPr>
          <w:p>
            <w:r/>
            <w:r>
              <w:t>All functional increments</w:t>
            </w:r>
          </w:p>
        </w:tc>
      </w:tr>
    </w:tbl>
    <w:p/>
    <w:p>
      <w:r>
        <w:t>Each increment should produce a reviewable pull request in the GitHub repository and linked Azure DevOps work items/tests after factory publication.</w:t>
      </w:r>
    </w:p>
    <w:p>
      <w:pPr>
        <w:pStyle w:val="Heading1"/>
      </w:pPr>
      <w:r>
        <w:t>5. Architecture and implementation constraints</w:t>
      </w:r>
    </w:p>
    <w:p>
      <w:r>
        <w:t>The Architecture Advisor should produce the detailed solution design, subject to these plan constraints:</w:t>
      </w:r>
    </w:p>
    <w:p>
      <w:pPr>
        <w:pStyle w:val="ListBullet"/>
      </w:pPr>
      <w:r>
        <w:rPr>
          <w:b/>
        </w:rPr>
        <w:t>Client:</w:t>
      </w:r>
      <w:r>
        <w:t xml:space="preserve"> Angular + Ionic in TypeScript, mobile-first and responsive.</w:t>
      </w:r>
    </w:p>
    <w:p>
      <w:pPr>
        <w:pStyle w:val="ListBullet"/>
      </w:pPr>
      <w:r>
        <w:rPr>
          <w:b/>
        </w:rPr>
        <w:t>Service:</w:t>
      </w:r>
      <w:r>
        <w:t xml:space="preserve"> FastAPI, exposing a documented contract derived from approved workflow and data-model decisions.</w:t>
      </w:r>
    </w:p>
    <w:p>
      <w:pPr>
        <w:pStyle w:val="ListBullet"/>
      </w:pPr>
      <w:r>
        <w:rPr>
          <w:b/>
        </w:rPr>
        <w:t>Data:</w:t>
      </w:r>
      <w:r>
        <w:t xml:space="preserve"> PostgreSQL with versioned migrations and referential links among incident, triage, notification, corrective action, verification, investigation, and audit records.</w:t>
      </w:r>
    </w:p>
    <w:p>
      <w:pPr>
        <w:pStyle w:val="ListBullet"/>
      </w:pPr>
      <w:r>
        <w:rPr>
          <w:b/>
        </w:rPr>
        <w:t>Configuration:</w:t>
      </w:r>
      <w:r>
        <w:t xml:space="preserve"> Put all runtime-tunable values—such as service base addresses, notification-provider options, feature controls, retention options, upload constraints, and timeouts—in versioned JSON configuration under </w:t>
      </w:r>
      <w:r>
        <w:rPr>
          <w:rFonts w:ascii="Consolas" w:hAnsi="Consolas"/>
          <w:color w:val="1F2937"/>
        </w:rPr>
        <w:t>config/</w:t>
      </w:r>
      <w:r>
        <w:t>, read at runtime. Environment-specific values must not be hardcoded.</w:t>
      </w:r>
    </w:p>
    <w:p>
      <w:pPr>
        <w:pStyle w:val="ListBullet"/>
      </w:pPr>
      <w:r>
        <w:rPr>
          <w:b/>
        </w:rPr>
        <w:t>Secrets:</w:t>
      </w:r>
      <w:r>
        <w:t xml:space="preserve"> Use environment variables, managed identity, or an approved secret store. Never commit, display, or log credentials.</w:t>
      </w:r>
    </w:p>
    <w:p>
      <w:pPr>
        <w:pStyle w:val="ListBullet"/>
      </w:pPr>
      <w:r>
        <w:rPr>
          <w:b/>
        </w:rPr>
        <w:t>Identity/access:</w:t>
      </w:r>
      <w:r>
        <w:t xml:space="preserve"> Treat reporter and safety-lead capabilities as distinct authorization requirements. Final roles, authentication provider, and delegated access must be approved before implementation.</w:t>
      </w:r>
    </w:p>
    <w:p>
      <w:pPr>
        <w:pStyle w:val="ListBullet"/>
      </w:pPr>
      <w:r>
        <w:rPr>
          <w:b/>
        </w:rPr>
        <w:t>Data protection:</w:t>
      </w:r>
      <w:r>
        <w:t xml:space="preserve"> Minimize sensitive data, prevent it from appearing in application logs, apply authorization at the API boundary, and define retention/deletion expectations before production promotion.</w:t>
      </w:r>
    </w:p>
    <w:p>
      <w:pPr>
        <w:pStyle w:val="ListBullet"/>
      </w:pPr>
      <w:r>
        <w:rPr>
          <w:b/>
        </w:rPr>
        <w:t>External notification:</w:t>
      </w:r>
      <w:r>
        <w:t xml:space="preserve"> Design as a configurable adapter. No provider, endpoint, credential, recipient directory, or delivery policy has been approved.</w:t>
      </w:r>
    </w:p>
    <w:p>
      <w:pPr>
        <w:pStyle w:val="Heading1"/>
      </w:pPr>
      <w:r>
        <w:t>6. Test and quality plan</w:t>
      </w:r>
    </w:p>
    <w:p>
      <w:r>
        <w:t>Automated tests will cover, at minimum:</w:t>
      </w:r>
    </w:p>
    <w:p>
      <w:pPr>
        <w:pStyle w:val="ListNumber"/>
      </w:pPr>
      <w:r>
        <w:t>Valid report submission and confirmation.</w:t>
      </w:r>
    </w:p>
    <w:p>
      <w:pPr>
        <w:pStyle w:val="ListNumber"/>
      </w:pPr>
      <w:r>
        <w:t>Invalid or incomplete report rejection with usable feedback.</w:t>
      </w:r>
    </w:p>
    <w:p>
      <w:pPr>
        <w:pStyle w:val="ListNumber"/>
      </w:pPr>
      <w:r>
        <w:t>Safety-lead triage and notification recording.</w:t>
      </w:r>
    </w:p>
    <w:p>
      <w:pPr>
        <w:pStyle w:val="ListNumber"/>
      </w:pPr>
      <w:r>
        <w:t>Corrective-action creation, assignment, completion, and verification.</w:t>
      </w:r>
    </w:p>
    <w:p>
      <w:pPr>
        <w:pStyle w:val="ListNumber"/>
      </w:pPr>
      <w:r>
        <w:t>Attempted closure with outstanding required actions is blocked.</w:t>
      </w:r>
    </w:p>
    <w:p>
      <w:pPr>
        <w:pStyle w:val="ListNumber"/>
      </w:pPr>
      <w:r>
        <w:t>Successful investigation closure after preconditions are satisfied.</w:t>
      </w:r>
    </w:p>
    <w:p>
      <w:pPr>
        <w:pStyle w:val="ListNumber"/>
      </w:pPr>
      <w:r>
        <w:t>Authorization checks preventing unauthorized lifecycle updates.</w:t>
      </w:r>
    </w:p>
    <w:p>
      <w:pPr>
        <w:pStyle w:val="ListNumber"/>
      </w:pPr>
      <w:r>
        <w:t>API validation and persistence integrity.</w:t>
      </w:r>
    </w:p>
    <w:p>
      <w:pPr>
        <w:pStyle w:val="ListNumber"/>
      </w:pPr>
      <w:r>
        <w:t>Responsive smoke coverage for mobile and desktop layouts.</w:t>
      </w:r>
    </w:p>
    <w:p>
      <w:r>
        <w:t>Quality gates for each pull request:</w:t>
      </w:r>
    </w:p>
    <w:p>
      <w:pPr>
        <w:pStyle w:val="ListBullet"/>
      </w:pPr>
      <w:r>
        <w:t>Build and static checks pass.</w:t>
      </w:r>
    </w:p>
    <w:p>
      <w:pPr>
        <w:pStyle w:val="ListBullet"/>
      </w:pPr>
      <w:r>
        <w:t>Migration and API/integration tests pass.</w:t>
      </w:r>
    </w:p>
    <w:p>
      <w:pPr>
        <w:pStyle w:val="ListBullet"/>
      </w:pPr>
      <w:r>
        <w:t>Main workflow end-to-end tests pass once the relevant increments exist.</w:t>
      </w:r>
    </w:p>
    <w:p>
      <w:pPr>
        <w:pStyle w:val="ListBullet"/>
      </w:pPr>
      <w:r>
        <w:t>No secrets, sensitive sample data, or environment-specific endpoints are committed.</w:t>
      </w:r>
    </w:p>
    <w:p>
      <w:pPr>
        <w:pStyle w:val="ListBullet"/>
      </w:pPr>
      <w:r>
        <w:t>Configuration changes are documented and validated.</w:t>
      </w:r>
    </w:p>
    <w:p>
      <w:pPr>
        <w:pStyle w:val="ListBullet"/>
      </w:pPr>
      <w:r>
        <w:t>Work item, acceptance criteria, implementation, and automated tests are traceable.</w:t>
      </w:r>
    </w:p>
    <w:p>
      <w:pPr>
        <w:pStyle w:val="Heading1"/>
      </w:pPr>
      <w:r>
        <w:t>7. Decisions required before build</w:t>
      </w:r>
    </w:p>
    <w:p>
      <w:r>
        <w:t>These items are not specified in the supplied requirements and should be resolved during architecture/backlog refinement:</w:t>
      </w:r>
    </w:p>
    <w:p>
      <w:pPr>
        <w:pStyle w:val="ListNumber"/>
      </w:pPr>
      <w:r>
        <w:rPr>
          <w:b/>
        </w:rPr>
        <w:t>Report form definition:</w:t>
      </w:r>
      <w:r>
        <w:t xml:space="preserve"> Required fields, optional fields, controlled vocabularies, attachment/evidence rules, and whether offline capture is required.</w:t>
      </w:r>
    </w:p>
    <w:p>
      <w:pPr>
        <w:pStyle w:val="ListNumber"/>
      </w:pPr>
      <w:r>
        <w:rPr>
          <w:b/>
        </w:rPr>
        <w:t>Rapid-report success measure:</w:t>
      </w:r>
      <w:r>
        <w:t xml:space="preserve"> The form/flow baseline and usability method for determining that reporting can be completed “in under a minute.”</w:t>
      </w:r>
    </w:p>
    <w:p>
      <w:pPr>
        <w:pStyle w:val="ListNumber"/>
      </w:pPr>
      <w:r>
        <w:rPr>
          <w:b/>
        </w:rPr>
        <w:t>Identity and roles:</w:t>
      </w:r>
      <w:r>
        <w:t xml:space="preserve"> Authentication provider, reporter/safety-lead permissions, assignment permissions, and whether a verifier must be independent from the action owner.</w:t>
      </w:r>
    </w:p>
    <w:p>
      <w:pPr>
        <w:pStyle w:val="ListNumber"/>
      </w:pPr>
      <w:r>
        <w:rPr>
          <w:b/>
        </w:rPr>
        <w:t>Triage rules:</w:t>
      </w:r>
      <w:r>
        <w:t xml:space="preserve"> Severity/priority taxonomy, escalation thresholds, notification recipients, delivery channels, and failure/retry policy.</w:t>
      </w:r>
    </w:p>
    <w:p>
      <w:pPr>
        <w:pStyle w:val="ListNumber"/>
      </w:pPr>
      <w:r>
        <w:rPr>
          <w:b/>
        </w:rPr>
        <w:t>Closure policy:</w:t>
      </w:r>
      <w:r>
        <w:t xml:space="preserve"> Required investigation information, allowable exceptions to action verification, and who may close or reopen a record.</w:t>
      </w:r>
    </w:p>
    <w:p>
      <w:pPr>
        <w:pStyle w:val="ListNumber"/>
      </w:pPr>
      <w:r>
        <w:rPr>
          <w:b/>
        </w:rPr>
        <w:t>Statutory-reporting support:</w:t>
      </w:r>
      <w:r>
        <w:t xml:space="preserve"> Jurisdiction, retention period, required reporting fields, export format, audit expectations, and data residency/compliance requirements.</w:t>
      </w:r>
    </w:p>
    <w:p>
      <w:pPr>
        <w:pStyle w:val="ListNumber"/>
      </w:pPr>
      <w:r>
        <w:rPr>
          <w:b/>
        </w:rPr>
        <w:t>Sensitive-data policy:</w:t>
      </w:r>
      <w:r>
        <w:t xml:space="preserve"> Permitted personal/medical information, attachment handling, access controls, retention, and deletion requirements.</w:t>
      </w:r>
    </w:p>
    <w:p>
      <w:pPr>
        <w:pStyle w:val="ListNumber"/>
      </w:pPr>
      <w:r>
        <w:rPr>
          <w:b/>
        </w:rPr>
        <w:t>UX direction:</w:t>
      </w:r>
      <w:r>
        <w:t xml:space="preserve"> No mockup exists; approve a mobile-first workflow design before UI implementation.</w:t>
      </w:r>
    </w:p>
    <w:p>
      <w:pPr>
        <w:pStyle w:val="ListNumber"/>
      </w:pPr>
      <w:r>
        <w:rPr>
          <w:b/>
        </w:rPr>
        <w:t>Dev deployment target:</w:t>
      </w:r>
      <w:r>
        <w:t xml:space="preserve"> The project identifies </w:t>
      </w:r>
      <w:r>
        <w:rPr>
          <w:rFonts w:ascii="Consolas" w:hAnsi="Consolas"/>
          <w:color w:val="1F2937"/>
        </w:rPr>
        <w:t>Dev</w:t>
      </w:r>
      <w:r>
        <w:t xml:space="preserve"> but supplies no hosting, database, identity, or notification-service selections. These must be supplied as deployment configuration, not embedded in source.</w:t>
      </w:r>
    </w:p>
    <w:p>
      <w:pPr>
        <w:pStyle w:val="Heading1"/>
      </w:pPr>
      <w:r>
        <w:t>8. Proposed changes after approval</w:t>
      </w:r>
    </w:p>
    <w:p>
      <w:r>
        <w:t>The factory should:</w:t>
      </w:r>
    </w:p>
    <w:p>
      <w:pPr>
        <w:pStyle w:val="ListNumber"/>
      </w:pPr>
      <w:r>
        <w:t>Create an Azure DevOps Epic and the five feature groupings above, with linked user stories, acceptance criteria, and test cases.</w:t>
      </w:r>
    </w:p>
    <w:p>
      <w:pPr>
        <w:pStyle w:val="ListNumber"/>
      </w:pPr>
      <w:r>
        <w:t>Publish the approved intake document and this plan into the documentation location associated with the GitHub documentation system of record.</w:t>
      </w:r>
    </w:p>
    <w:p>
      <w:pPr>
        <w:pStyle w:val="ListNumber"/>
      </w:pPr>
      <w:r>
        <w:t xml:space="preserve">Use </w:t>
      </w:r>
      <w:r>
        <w:rPr>
          <w:rFonts w:ascii="Consolas" w:hAnsi="Consolas"/>
          <w:color w:val="1F2937"/>
        </w:rPr>
        <w:t>csdmichael/tutorial-safety-incident-reporting</w:t>
      </w:r>
      <w:r>
        <w:t xml:space="preserve"> on </w:t>
      </w:r>
      <w:r>
        <w:rPr>
          <w:rFonts w:ascii="Consolas" w:hAnsi="Consolas"/>
          <w:color w:val="1F2937"/>
        </w:rPr>
        <w:t>main</w:t>
      </w:r>
      <w:r>
        <w:t xml:space="preserve"> as the implementation repository, subject to normal branch and pull-request governance.</w:t>
      </w:r>
    </w:p>
    <w:p>
      <w:pPr>
        <w:pStyle w:val="ListNumber"/>
      </w:pPr>
      <w:r>
        <w:t>Add the planned application, configuration, documentation, test, and GitHub Actions workflow files through reviewed pull requests.</w:t>
      </w:r>
    </w:p>
    <w:p>
      <w:pPr>
        <w:pStyle w:val="ListNumber"/>
      </w:pPr>
      <w:r>
        <w:t>Leave the empty Azure Repos repository untouched unless governance explicitly directs consolidation or migration.</w:t>
      </w:r>
    </w:p>
    <w:p>
      <w:pPr>
        <w:pStyle w:val="Heading1"/>
      </w:pPr>
      <w:r>
        <w:t>Approval recommendation</w:t>
      </w:r>
    </w:p>
    <w:p>
      <w:r>
        <w:rPr>
          <w:b/>
        </w:rPr>
        <w:t>Approve with the stated decision log.</w:t>
      </w:r>
      <w:r>
        <w:t xml:space="preserve"> The core workflow is sufficiently defined to begin architecture and backlog setup. Implementation should not proceed beyond the foundation and reporting-flow design until the report form, access model, triage/closure policy, and data/statutory requirements are confirmed.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67B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7B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67B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