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i w:val="1"/>
          <w:sz w:val="24"/>
          <w:szCs w:val="24"/>
          <w:u w:val="single"/>
        </w:rPr>
      </w:pPr>
      <w:r w:rsidDel="00000000" w:rsidR="00000000" w:rsidRPr="00000000">
        <w:rPr>
          <w:b w:val="1"/>
          <w:color w:val="000000"/>
          <w:sz w:val="24"/>
          <w:szCs w:val="24"/>
          <w:u w:val="single"/>
          <w:rtl w:val="0"/>
        </w:rPr>
        <w:t xml:space="preserve">Preliminary Form to Add Social Determinants to CSDUL</w:t>
      </w:r>
      <w:r w:rsidDel="00000000" w:rsidR="00000000" w:rsidRPr="00000000">
        <w:rPr>
          <w:rtl w:val="0"/>
        </w:rPr>
      </w:r>
    </w:p>
    <w:bookmarkStart w:colFirst="0" w:colLast="0" w:name="gjdgxs" w:id="0"/>
    <w:bookmarkEnd w:id="0"/>
    <w:p w:rsidR="00000000" w:rsidDel="00000000" w:rsidP="00000000" w:rsidRDefault="00000000" w:rsidRPr="00000000" w14:paraId="00000002">
      <w:pPr>
        <w:spacing w:before="240" w:lineRule="auto"/>
        <w:jc w:val="right"/>
        <w:rPr>
          <w:b w:val="1"/>
          <w:sz w:val="24"/>
          <w:szCs w:val="24"/>
        </w:rPr>
      </w:pPr>
      <w:r w:rsidDel="00000000" w:rsidR="00000000" w:rsidRPr="00000000">
        <w:rPr>
          <w:b w:val="1"/>
          <w:sz w:val="24"/>
          <w:szCs w:val="24"/>
          <w:rtl w:val="0"/>
        </w:rPr>
        <w:t xml:space="preserve">Request date (202</w:t>
      </w:r>
      <w:r w:rsidDel="00000000" w:rsidR="00000000" w:rsidRPr="00000000">
        <w:rPr>
          <w:b w:val="1"/>
          <w:rtl w:val="0"/>
        </w:rPr>
        <w:t xml:space="preserve">5</w:t>
      </w:r>
      <w:r w:rsidDel="00000000" w:rsidR="00000000" w:rsidRPr="00000000">
        <w:rPr>
          <w:b w:val="1"/>
          <w:sz w:val="24"/>
          <w:szCs w:val="24"/>
          <w:rtl w:val="0"/>
        </w:rPr>
        <w:t xml:space="preserve">-</w:t>
      </w:r>
      <w:r w:rsidDel="00000000" w:rsidR="00000000" w:rsidRPr="00000000">
        <w:rPr>
          <w:b w:val="1"/>
          <w:rtl w:val="0"/>
        </w:rPr>
        <w:t xml:space="preserve">09</w:t>
      </w:r>
      <w:r w:rsidDel="00000000" w:rsidR="00000000" w:rsidRPr="00000000">
        <w:rPr>
          <w:b w:val="1"/>
          <w:sz w:val="24"/>
          <w:szCs w:val="24"/>
          <w:rtl w:val="0"/>
        </w:rPr>
        <w:t xml:space="preserve">-</w:t>
      </w:r>
      <w:r w:rsidDel="00000000" w:rsidR="00000000" w:rsidRPr="00000000">
        <w:rPr>
          <w:b w:val="1"/>
          <w:rtl w:val="0"/>
        </w:rPr>
        <w:t xml:space="preserve">11</w:t>
      </w:r>
      <w:r w:rsidDel="00000000" w:rsidR="00000000" w:rsidRPr="00000000">
        <w:rPr>
          <w:b w:val="1"/>
          <w:sz w:val="24"/>
          <w:szCs w:val="24"/>
          <w:rtl w:val="0"/>
        </w:rPr>
        <w:t xml:space="preserve">): </w:t>
      </w:r>
    </w:p>
    <w:p w:rsidR="00000000" w:rsidDel="00000000" w:rsidP="00000000" w:rsidRDefault="00000000" w:rsidRPr="00000000" w14:paraId="00000003">
      <w:pPr>
        <w:spacing w:before="240" w:lineRule="auto"/>
        <w:jc w:val="right"/>
        <w:rPr>
          <w:b w:val="1"/>
          <w:sz w:val="24"/>
          <w:szCs w:val="24"/>
          <w:u w:val="single"/>
        </w:rPr>
      </w:pPr>
      <w:r w:rsidDel="00000000" w:rsidR="00000000" w:rsidRPr="00000000">
        <w:rPr>
          <w:rtl w:val="0"/>
        </w:rPr>
      </w:r>
    </w:p>
    <w:tbl>
      <w:tblPr>
        <w:tblStyle w:val="Table1"/>
        <w:tblW w:w="10246.0" w:type="dxa"/>
        <w:jc w:val="left"/>
        <w:tblInd w:w="-1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53"/>
        <w:gridCol w:w="5793"/>
        <w:tblGridChange w:id="0">
          <w:tblGrid>
            <w:gridCol w:w="4453"/>
            <w:gridCol w:w="5793"/>
          </w:tblGrid>
        </w:tblGridChange>
      </w:tblGrid>
      <w:tr>
        <w:trPr>
          <w:cantSplit w:val="0"/>
          <w:trHeight w:val="809" w:hRule="atLeast"/>
          <w:tblHeader w:val="0"/>
        </w:trPr>
        <w:tc>
          <w:tcPr>
            <w:vAlign w:val="center"/>
          </w:tcPr>
          <w:p w:rsidR="00000000" w:rsidDel="00000000" w:rsidP="00000000" w:rsidRDefault="00000000" w:rsidRPr="00000000" w14:paraId="00000004">
            <w:pPr>
              <w:spacing w:before="40" w:lineRule="auto"/>
              <w:rPr>
                <w:color w:val="000000"/>
                <w:sz w:val="24"/>
                <w:szCs w:val="24"/>
              </w:rPr>
            </w:pPr>
            <w:r w:rsidDel="00000000" w:rsidR="00000000" w:rsidRPr="00000000">
              <w:rPr>
                <w:b w:val="1"/>
                <w:color w:val="000000"/>
                <w:sz w:val="24"/>
                <w:szCs w:val="24"/>
                <w:rtl w:val="0"/>
              </w:rPr>
              <w:t xml:space="preserve">Researcher (name and affiliation):</w:t>
            </w:r>
            <w:r w:rsidDel="00000000" w:rsidR="00000000" w:rsidRPr="00000000">
              <w:rPr>
                <w:rtl w:val="0"/>
              </w:rPr>
            </w:r>
          </w:p>
        </w:tc>
        <w:tc>
          <w:tcPr>
            <w:vAlign w:val="center"/>
          </w:tcPr>
          <w:p w:rsidR="00000000" w:rsidDel="00000000" w:rsidP="00000000" w:rsidRDefault="00000000" w:rsidRPr="00000000" w14:paraId="00000005">
            <w:pPr>
              <w:spacing w:before="40" w:lineRule="auto"/>
              <w:rPr>
                <w:color w:val="000000"/>
                <w:sz w:val="24"/>
                <w:szCs w:val="24"/>
              </w:rPr>
            </w:pPr>
            <w:r w:rsidDel="00000000" w:rsidR="00000000" w:rsidRPr="00000000">
              <w:rPr>
                <w:sz w:val="24"/>
                <w:szCs w:val="24"/>
                <w:rtl w:val="0"/>
              </w:rPr>
              <w:t xml:space="preserve">Anousheh Marouzi, University of Toronto</w:t>
            </w:r>
            <w:r w:rsidDel="00000000" w:rsidR="00000000" w:rsidRPr="00000000">
              <w:rPr>
                <w:rtl w:val="0"/>
              </w:rPr>
            </w:r>
          </w:p>
        </w:tc>
      </w:tr>
      <w:tr>
        <w:trPr>
          <w:cantSplit w:val="0"/>
          <w:trHeight w:val="269" w:hRule="atLeast"/>
          <w:tblHeader w:val="0"/>
        </w:trPr>
        <w:tc>
          <w:tcPr>
            <w:vAlign w:val="center"/>
          </w:tcPr>
          <w:p w:rsidR="00000000" w:rsidDel="00000000" w:rsidP="00000000" w:rsidRDefault="00000000" w:rsidRPr="00000000" w14:paraId="00000006">
            <w:pPr>
              <w:spacing w:before="40" w:lineRule="auto"/>
              <w:rPr>
                <w:rFonts w:ascii="Calibri" w:cs="Calibri" w:eastAsia="Calibri" w:hAnsi="Calibri"/>
                <w:color w:val="000000"/>
                <w:sz w:val="22"/>
                <w:szCs w:val="22"/>
              </w:rPr>
            </w:pPr>
            <w:r w:rsidDel="00000000" w:rsidR="00000000" w:rsidRPr="00000000">
              <w:rPr>
                <w:b w:val="1"/>
                <w:color w:val="000000"/>
                <w:sz w:val="24"/>
                <w:szCs w:val="24"/>
                <w:rtl w:val="0"/>
              </w:rPr>
              <w:t xml:space="preserve">Node Lead (name and affiliation):</w:t>
            </w:r>
            <w:r w:rsidDel="00000000" w:rsidR="00000000" w:rsidRPr="00000000">
              <w:rPr>
                <w:rtl w:val="0"/>
              </w:rPr>
            </w:r>
          </w:p>
        </w:tc>
        <w:tc>
          <w:tcPr>
            <w:vAlign w:val="center"/>
          </w:tcPr>
          <w:p w:rsidR="00000000" w:rsidDel="00000000" w:rsidP="00000000" w:rsidRDefault="00000000" w:rsidRPr="00000000" w14:paraId="00000007">
            <w:pPr>
              <w:spacing w:before="40" w:lineRule="auto"/>
              <w:rPr>
                <w:rFonts w:ascii="Calibri" w:cs="Calibri" w:eastAsia="Calibri" w:hAnsi="Calibri"/>
                <w:color w:val="000000"/>
                <w:sz w:val="22"/>
                <w:szCs w:val="22"/>
              </w:rPr>
            </w:pPr>
            <w:r w:rsidDel="00000000" w:rsidR="00000000" w:rsidRPr="00000000">
              <w:rPr>
                <w:sz w:val="22"/>
                <w:szCs w:val="22"/>
                <w:rtl w:val="0"/>
              </w:rPr>
              <w:t xml:space="preserve">Charles Plante, Saskatchewan Health Authority</w:t>
            </w:r>
            <w:r w:rsidDel="00000000" w:rsidR="00000000" w:rsidRPr="00000000">
              <w:rPr>
                <w:rtl w:val="0"/>
              </w:rPr>
            </w:r>
          </w:p>
        </w:tc>
      </w:tr>
      <w:tr>
        <w:trPr>
          <w:cantSplit w:val="0"/>
          <w:trHeight w:val="455" w:hRule="atLeast"/>
          <w:tblHeader w:val="0"/>
        </w:trPr>
        <w:tc>
          <w:tcPr>
            <w:vAlign w:val="center"/>
          </w:tcPr>
          <w:p w:rsidR="00000000" w:rsidDel="00000000" w:rsidP="00000000" w:rsidRDefault="00000000" w:rsidRPr="00000000" w14:paraId="00000008">
            <w:pPr>
              <w:spacing w:before="40" w:lineRule="auto"/>
              <w:rPr>
                <w:rFonts w:ascii="Calibri" w:cs="Calibri" w:eastAsia="Calibri" w:hAnsi="Calibri"/>
                <w:color w:val="000000"/>
                <w:sz w:val="22"/>
                <w:szCs w:val="22"/>
              </w:rPr>
            </w:pPr>
            <w:r w:rsidDel="00000000" w:rsidR="00000000" w:rsidRPr="00000000">
              <w:rPr>
                <w:b w:val="1"/>
                <w:color w:val="000000"/>
                <w:sz w:val="24"/>
                <w:szCs w:val="24"/>
                <w:rtl w:val="0"/>
              </w:rPr>
              <w:t xml:space="preserve">Indicator</w:t>
            </w:r>
            <w:r w:rsidDel="00000000" w:rsidR="00000000" w:rsidRPr="00000000">
              <w:rPr>
                <w:b w:val="1"/>
                <w:sz w:val="24"/>
                <w:szCs w:val="24"/>
                <w:rtl w:val="0"/>
              </w:rPr>
              <w:t xml:space="preserve"> or </w:t>
            </w:r>
            <w:r w:rsidDel="00000000" w:rsidR="00000000" w:rsidRPr="00000000">
              <w:rPr>
                <w:b w:val="1"/>
                <w:color w:val="000000"/>
                <w:sz w:val="24"/>
                <w:szCs w:val="24"/>
                <w:rtl w:val="0"/>
              </w:rPr>
              <w:t xml:space="preserve">Model Name:</w:t>
              <w:tab/>
            </w:r>
            <w:r w:rsidDel="00000000" w:rsidR="00000000" w:rsidRPr="00000000">
              <w:rPr>
                <w:rtl w:val="0"/>
              </w:rPr>
            </w:r>
          </w:p>
        </w:tc>
        <w:tc>
          <w:tcPr>
            <w:vAlign w:val="center"/>
          </w:tcPr>
          <w:p w:rsidR="00000000" w:rsidDel="00000000" w:rsidP="00000000" w:rsidRDefault="00000000" w:rsidRPr="00000000" w14:paraId="00000009">
            <w:pPr>
              <w:spacing w:before="40" w:lineRule="auto"/>
              <w:rPr>
                <w:rFonts w:ascii="Calibri" w:cs="Calibri" w:eastAsia="Calibri" w:hAnsi="Calibri"/>
                <w:color w:val="000000"/>
                <w:sz w:val="22"/>
                <w:szCs w:val="22"/>
                <w:highlight w:val="yellow"/>
              </w:rPr>
            </w:pPr>
            <w:r w:rsidDel="00000000" w:rsidR="00000000" w:rsidRPr="00000000">
              <w:rPr>
                <w:sz w:val="22"/>
                <w:szCs w:val="22"/>
                <w:highlight w:val="yellow"/>
                <w:rtl w:val="0"/>
              </w:rPr>
              <w:t xml:space="preserve">Population Counts for Dissemination Areas (DAs) and Census Tracts (CTs), 2011–2021</w:t>
            </w:r>
            <w:r w:rsidDel="00000000" w:rsidR="00000000" w:rsidRPr="00000000">
              <w:rPr>
                <w:rtl w:val="0"/>
              </w:rPr>
            </w:r>
          </w:p>
        </w:tc>
      </w:tr>
    </w:tbl>
    <w:p w:rsidR="00000000" w:rsidDel="00000000" w:rsidP="00000000" w:rsidRDefault="00000000" w:rsidRPr="00000000" w14:paraId="0000000A">
      <w:pPr>
        <w:jc w:val="center"/>
        <w:rPr>
          <w:b w:val="1"/>
          <w:color w:val="000000"/>
          <w:sz w:val="24"/>
          <w:szCs w:val="24"/>
          <w:u w:val="single"/>
        </w:rPr>
      </w:pPr>
      <w:r w:rsidDel="00000000" w:rsidR="00000000" w:rsidRPr="00000000">
        <w:rPr>
          <w:rtl w:val="0"/>
        </w:rPr>
      </w:r>
    </w:p>
    <w:p w:rsidR="00000000" w:rsidDel="00000000" w:rsidP="00000000" w:rsidRDefault="00000000" w:rsidRPr="00000000" w14:paraId="0000000B">
      <w:pPr>
        <w:spacing w:after="240" w:before="240" w:lineRule="auto"/>
        <w:rPr>
          <w:b w:val="1"/>
          <w:sz w:val="24"/>
          <w:szCs w:val="24"/>
        </w:rPr>
      </w:pPr>
      <w:r w:rsidDel="00000000" w:rsidR="00000000" w:rsidRPr="00000000">
        <w:rPr>
          <w:b w:val="1"/>
          <w:sz w:val="24"/>
          <w:szCs w:val="24"/>
          <w:rtl w:val="0"/>
        </w:rPr>
        <w:t xml:space="preserve">Purpose of the document</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This document includes several questions that must be answered by the researcher interested in adding indicators or models into CSDUL. These questions pretend to briefly explain the mathematical and theoretical framework of the indicator or model being incorporated. The researcher must be able to fill out every question clearly and concisely, supporting their explanation with respectable academic sources. </w:t>
      </w:r>
    </w:p>
    <w:p w:rsidR="00000000" w:rsidDel="00000000" w:rsidP="00000000" w:rsidRDefault="00000000" w:rsidRPr="00000000" w14:paraId="0000000D">
      <w:pPr>
        <w:spacing w:after="240" w:before="240" w:lineRule="auto"/>
        <w:rPr>
          <w:b w:val="1"/>
          <w:sz w:val="24"/>
          <w:szCs w:val="24"/>
          <w:u w:val="single"/>
        </w:rPr>
      </w:pPr>
      <w:r w:rsidDel="00000000" w:rsidR="00000000" w:rsidRPr="00000000">
        <w:rPr>
          <w:sz w:val="24"/>
          <w:szCs w:val="24"/>
          <w:rtl w:val="0"/>
        </w:rPr>
        <w:t xml:space="preserve">The document will be added to the model or indicator documentation in CSDUL-OUT and CSDUL-RDC. It must serve as a quick and straightforward introduction to the indicator or model for anyone interested and give relevant references to guide the learning process to other researchers. </w:t>
      </w:r>
      <w:r w:rsidDel="00000000" w:rsidR="00000000" w:rsidRPr="00000000">
        <w:rPr>
          <w:rtl w:val="0"/>
        </w:rPr>
      </w:r>
    </w:p>
    <w:p w:rsidR="00000000" w:rsidDel="00000000" w:rsidP="00000000" w:rsidRDefault="00000000" w:rsidRPr="00000000" w14:paraId="0000000E">
      <w:pPr>
        <w:rPr>
          <w:b w:val="1"/>
          <w:color w:val="c00000"/>
          <w:sz w:val="24"/>
          <w:szCs w:val="24"/>
        </w:rPr>
      </w:pPr>
      <w:r w:rsidDel="00000000" w:rsidR="00000000" w:rsidRPr="00000000">
        <w:rPr>
          <w:b w:val="1"/>
          <w:color w:val="c00000"/>
          <w:sz w:val="24"/>
          <w:szCs w:val="24"/>
          <w:rtl w:val="0"/>
        </w:rPr>
        <w:t xml:space="preserve">To be completed by the responsible analyst.</w:t>
      </w:r>
    </w:p>
    <w:p w:rsidR="00000000" w:rsidDel="00000000" w:rsidP="00000000" w:rsidRDefault="00000000" w:rsidRPr="00000000" w14:paraId="0000000F">
      <w:pPr>
        <w:rPr>
          <w:b w:val="1"/>
          <w:color w:val="c00000"/>
          <w:sz w:val="24"/>
          <w:szCs w:val="24"/>
        </w:rPr>
      </w:pPr>
      <w:r w:rsidDel="00000000" w:rsidR="00000000" w:rsidRPr="00000000">
        <w:rPr>
          <w:b w:val="1"/>
          <w:color w:val="c00000"/>
          <w:sz w:val="24"/>
          <w:szCs w:val="24"/>
          <w:rtl w:val="0"/>
        </w:rPr>
        <w:t xml:space="preserve">If there are questions that cannot be answered because of the nature of the indicator/model, write N/A.</w:t>
      </w:r>
    </w:p>
    <w:p w:rsidR="00000000" w:rsidDel="00000000" w:rsidP="00000000" w:rsidRDefault="00000000" w:rsidRPr="00000000" w14:paraId="00000010">
      <w:pPr>
        <w:rPr>
          <w:b w:val="1"/>
          <w:color w:val="c00000"/>
          <w:sz w:val="24"/>
          <w:szCs w:val="24"/>
        </w:rPr>
      </w:pPr>
      <w:r w:rsidDel="00000000" w:rsidR="00000000" w:rsidRPr="00000000">
        <w:rPr>
          <w:b w:val="1"/>
          <w:color w:val="c00000"/>
          <w:sz w:val="24"/>
          <w:szCs w:val="24"/>
          <w:rtl w:val="0"/>
        </w:rPr>
        <w:t xml:space="preserve">You can support your completion using the example document located in this link: </w:t>
      </w:r>
      <w:hyperlink r:id="rId6">
        <w:r w:rsidDel="00000000" w:rsidR="00000000" w:rsidRPr="00000000">
          <w:rPr>
            <w:b w:val="1"/>
            <w:color w:val="1155cc"/>
            <w:sz w:val="24"/>
            <w:szCs w:val="24"/>
            <w:u w:val="single"/>
            <w:rtl w:val="0"/>
          </w:rPr>
          <w:t xml:space="preserve">Documents - Add inputs to CSDUL - 02 - Example.docx - Google Docs</w:t>
        </w:r>
      </w:hyperlink>
      <w:r w:rsidDel="00000000" w:rsidR="00000000" w:rsidRPr="00000000">
        <w:rPr>
          <w:rtl w:val="0"/>
        </w:rPr>
      </w:r>
    </w:p>
    <w:p w:rsidR="00000000" w:rsidDel="00000000" w:rsidP="00000000" w:rsidRDefault="00000000" w:rsidRPr="00000000" w14:paraId="00000011">
      <w:pPr>
        <w:rPr>
          <w:b w:val="1"/>
          <w:color w:val="c00000"/>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Will you share the inputs through CSDUL-RDC, CSDUL-OUT, or both?</w:t>
        <w:tab/>
      </w:r>
      <w:r w:rsidDel="00000000" w:rsidR="00000000" w:rsidRPr="00000000">
        <w:rPr>
          <w:i w:val="0"/>
          <w:smallCaps w:val="0"/>
          <w:strike w:val="0"/>
          <w:color w:val="000000"/>
          <w:sz w:val="24"/>
          <w:szCs w:val="24"/>
          <w:u w:val="none"/>
          <w:shd w:fill="auto" w:val="clear"/>
          <w:vertAlign w:val="baseline"/>
          <w:rtl w:val="0"/>
        </w:rPr>
        <w:t xml:space="preserve">CSDUL-OUT.</w:t>
      </w:r>
    </w:p>
    <w:p w:rsidR="00000000" w:rsidDel="00000000" w:rsidP="00000000" w:rsidRDefault="00000000" w:rsidRPr="00000000" w14:paraId="00000014">
      <w:pPr>
        <w:rPr>
          <w:b w:val="1"/>
          <w:color w:val="000000"/>
          <w:sz w:val="24"/>
          <w:szCs w:val="24"/>
        </w:rPr>
      </w:pPr>
      <w:r w:rsidDel="00000000" w:rsidR="00000000" w:rsidRPr="00000000">
        <w:rPr>
          <w:b w:val="1"/>
          <w:color w:val="000000"/>
          <w:sz w:val="24"/>
          <w:szCs w:val="24"/>
          <w:rtl w:val="0"/>
        </w:rPr>
        <w:t xml:space="preserve">   </w:t>
      </w:r>
    </w:p>
    <w:p w:rsidR="00000000" w:rsidDel="00000000" w:rsidP="00000000" w:rsidRDefault="00000000" w:rsidRPr="00000000" w14:paraId="00000015">
      <w:pPr>
        <w:numPr>
          <w:ilvl w:val="0"/>
          <w:numId w:val="6"/>
        </w:numPr>
        <w:ind w:left="360" w:hanging="360"/>
        <w:rPr>
          <w:b w:val="1"/>
          <w:sz w:val="24"/>
          <w:szCs w:val="24"/>
        </w:rPr>
      </w:pPr>
      <w:r w:rsidDel="00000000" w:rsidR="00000000" w:rsidRPr="00000000">
        <w:rPr>
          <w:b w:val="1"/>
          <w:sz w:val="24"/>
          <w:szCs w:val="24"/>
          <w:rtl w:val="0"/>
        </w:rPr>
        <w:t xml:space="preserve">Explanation of the indicator/model. </w:t>
      </w:r>
    </w:p>
    <w:p w:rsidR="00000000" w:rsidDel="00000000" w:rsidP="00000000" w:rsidRDefault="00000000" w:rsidRPr="00000000" w14:paraId="0000001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simple words, explain what the indicator/model to be added consists of.</w:t>
      </w:r>
    </w:p>
    <w:p w:rsidR="00000000" w:rsidDel="00000000" w:rsidP="00000000" w:rsidRDefault="00000000" w:rsidRPr="00000000" w14:paraId="00000017">
      <w:pPr>
        <w:spacing w:after="200" w:lineRule="auto"/>
        <w:ind w:left="720" w:firstLine="0"/>
        <w:rPr/>
      </w:pPr>
      <w:r w:rsidDel="00000000" w:rsidR="00000000" w:rsidRPr="00000000">
        <w:rPr>
          <w:rtl w:val="0"/>
        </w:rPr>
        <w:t xml:space="preserve">This dataset provides </w:t>
      </w:r>
      <w:r w:rsidDel="00000000" w:rsidR="00000000" w:rsidRPr="00000000">
        <w:rPr>
          <w:b w:val="1"/>
          <w:rtl w:val="0"/>
        </w:rPr>
        <w:t xml:space="preserve">annual population counts at the Dissemination Area (DA) and Census Tract (CT) levels in Canada from 2011 to 2021</w:t>
      </w:r>
      <w:r w:rsidDel="00000000" w:rsidR="00000000" w:rsidRPr="00000000">
        <w:rPr>
          <w:rtl w:val="0"/>
        </w:rPr>
        <w:t xml:space="preserve">. Statistics Canada only publishes counts for census years (2011, 2016, 2021), so this project fills the gap by producing </w:t>
      </w:r>
      <w:r w:rsidDel="00000000" w:rsidR="00000000" w:rsidRPr="00000000">
        <w:rPr>
          <w:b w:val="1"/>
          <w:rtl w:val="0"/>
        </w:rPr>
        <w:t xml:space="preserve">intercensal estimates</w:t>
      </w:r>
      <w:r w:rsidDel="00000000" w:rsidR="00000000" w:rsidRPr="00000000">
        <w:rPr>
          <w:rtl w:val="0"/>
        </w:rPr>
        <w:t xml:space="preserve"> (2012–2015 and 2017–2020). Counts are harmonized across census boundaries, allowing for consistent longitudinal and neighbourhood-level analyses.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Are there assumptions associated with the indicator/model? If there are, please briefly describe them. </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pPr>
      <w:r w:rsidDel="00000000" w:rsidR="00000000" w:rsidRPr="00000000">
        <w:rPr>
          <w:rtl w:val="0"/>
        </w:rPr>
        <w:t xml:space="preserve">Yes. The intercensal values are estimated using </w:t>
      </w:r>
      <w:r w:rsidDel="00000000" w:rsidR="00000000" w:rsidRPr="00000000">
        <w:rPr>
          <w:b w:val="1"/>
          <w:rtl w:val="0"/>
        </w:rPr>
        <w:t xml:space="preserve">linear interpolation</w:t>
      </w:r>
      <w:r w:rsidDel="00000000" w:rsidR="00000000" w:rsidRPr="00000000">
        <w:rPr>
          <w:rtl w:val="0"/>
        </w:rPr>
        <w:t xml:space="preserve">, assuming population changes occur at a constant rate between census years. Areal-weighted interpolation assumes populations are uniformly distributed within geographic units.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is the indicator/model derived? Support your explanation with formulas when possible. </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b w:val="1"/>
        </w:rPr>
      </w:pPr>
      <w:r w:rsidDel="00000000" w:rsidR="00000000" w:rsidRPr="00000000">
        <w:rPr>
          <w:rtl w:val="0"/>
        </w:rPr>
      </w:r>
    </w:p>
    <w:p w:rsidR="00000000" w:rsidDel="00000000" w:rsidP="00000000" w:rsidRDefault="00000000" w:rsidRPr="00000000" w14:paraId="0000001D">
      <w:pPr>
        <w:numPr>
          <w:ilvl w:val="0"/>
          <w:numId w:val="2"/>
        </w:numPr>
        <w:spacing w:after="200" w:afterAutospacing="0" w:before="240" w:lineRule="auto"/>
        <w:ind w:left="1440" w:hanging="360"/>
        <w:rPr>
          <w:u w:val="none"/>
        </w:rPr>
      </w:pPr>
      <w:r w:rsidDel="00000000" w:rsidR="00000000" w:rsidRPr="00000000">
        <w:rPr>
          <w:rtl w:val="0"/>
        </w:rPr>
        <w:t xml:space="preserve">Census-year population counts (2011, 2016, 2021) were calculated by aggregating Dissemination Block (DB) counts from Statistics Canada’s Geographic Attribute Files.</w:t>
      </w:r>
    </w:p>
    <w:p w:rsidR="00000000" w:rsidDel="00000000" w:rsidP="00000000" w:rsidRDefault="00000000" w:rsidRPr="00000000" w14:paraId="0000001E">
      <w:pPr>
        <w:numPr>
          <w:ilvl w:val="0"/>
          <w:numId w:val="2"/>
        </w:numPr>
        <w:spacing w:after="240" w:before="200" w:beforeAutospacing="0" w:lineRule="auto"/>
        <w:ind w:left="1440" w:hanging="360"/>
        <w:rPr>
          <w:u w:val="none"/>
        </w:rPr>
      </w:pPr>
      <w:r w:rsidDel="00000000" w:rsidR="00000000" w:rsidRPr="00000000">
        <w:rPr>
          <w:rtl w:val="0"/>
        </w:rPr>
        <w:t xml:space="preserve">Intercensal estimates were derived using </w:t>
      </w:r>
      <w:r w:rsidDel="00000000" w:rsidR="00000000" w:rsidRPr="00000000">
        <w:rPr>
          <w:b w:val="1"/>
          <w:rtl w:val="0"/>
        </w:rPr>
        <w:t xml:space="preserve">linear interpolation</w:t>
      </w:r>
      <w:r w:rsidDel="00000000" w:rsidR="00000000" w:rsidRPr="00000000">
        <w:rPr>
          <w:rtl w:val="0"/>
        </w:rPr>
        <w:t xml:space="preserve">. For example, using this approach to interpolate between the 2011 and 2016 censuses, we calculated the population counts for intercensal periods </w:t>
      </w:r>
      <w:r w:rsidDel="00000000" w:rsidR="00000000" w:rsidRPr="00000000">
        <w:rPr>
          <w:i w:val="1"/>
          <w:rtl w:val="0"/>
        </w:rPr>
        <w:t xml:space="preserve">p</w:t>
      </w:r>
      <w:r w:rsidDel="00000000" w:rsidR="00000000" w:rsidRPr="00000000">
        <w:rPr>
          <w:i w:val="1"/>
          <w:vertAlign w:val="subscript"/>
          <w:rtl w:val="0"/>
        </w:rPr>
        <w:t xml:space="preserve">t</w:t>
      </w:r>
      <w:r w:rsidDel="00000000" w:rsidR="00000000" w:rsidRPr="00000000">
        <w:rPr>
          <w:rtl w:val="0"/>
        </w:rPr>
        <w:t xml:space="preserve">​ where </w:t>
      </w:r>
      <w:r w:rsidDel="00000000" w:rsidR="00000000" w:rsidRPr="00000000">
        <w:rPr>
          <w:rFonts w:ascii="Gungsuh" w:cs="Gungsuh" w:eastAsia="Gungsuh" w:hAnsi="Gungsuh"/>
          <w:i w:val="1"/>
          <w:rtl w:val="0"/>
        </w:rPr>
        <w:t xml:space="preserve">t ∈ {</w:t>
      </w:r>
      <w:r w:rsidDel="00000000" w:rsidR="00000000" w:rsidRPr="00000000">
        <w:rPr>
          <w:rtl w:val="0"/>
        </w:rPr>
        <w:t xml:space="preserve">2012, 2013, 2014, 2015</w:t>
      </w:r>
      <w:r w:rsidDel="00000000" w:rsidR="00000000" w:rsidRPr="00000000">
        <w:rPr>
          <w:i w:val="1"/>
          <w:rtl w:val="0"/>
        </w:rPr>
        <w:t xml:space="preserve">} </w:t>
      </w:r>
      <w:r w:rsidDel="00000000" w:rsidR="00000000" w:rsidRPr="00000000">
        <w:rPr>
          <w:rtl w:val="0"/>
        </w:rPr>
        <w:t xml:space="preserve">as:</w:t>
      </w:r>
    </w:p>
    <w:tbl>
      <w:tblPr>
        <w:tblStyle w:val="Table2"/>
        <w:tblW w:w="6720.0" w:type="dxa"/>
        <w:jc w:val="left"/>
        <w:tblInd w:w="1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20"/>
        <w:tblGridChange w:id="0">
          <w:tblGrid>
            <w:gridCol w:w="67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drawing>
                <wp:inline distB="114300" distT="114300" distL="114300" distR="114300">
                  <wp:extent cx="2819400" cy="3143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19400" cy="3143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ind w:left="1440" w:firstLine="0"/>
        <w:rPr/>
      </w:pPr>
      <w:r w:rsidDel="00000000" w:rsidR="00000000" w:rsidRPr="00000000">
        <w:rPr>
          <w:rtl w:val="0"/>
        </w:rPr>
        <w:t xml:space="preserve">where </w:t>
      </w:r>
      <w:r w:rsidDel="00000000" w:rsidR="00000000" w:rsidRPr="00000000">
        <w:rPr>
          <w:i w:val="1"/>
          <w:rtl w:val="0"/>
        </w:rPr>
        <w:t xml:space="preserve">p</w:t>
      </w:r>
      <w:r w:rsidDel="00000000" w:rsidR="00000000" w:rsidRPr="00000000">
        <w:rPr>
          <w:i w:val="1"/>
          <w:vertAlign w:val="subscript"/>
          <w:rtl w:val="0"/>
        </w:rPr>
        <w:t xml:space="preserve">2011</w:t>
      </w:r>
      <w:r w:rsidDel="00000000" w:rsidR="00000000" w:rsidRPr="00000000">
        <w:rPr>
          <w:rtl w:val="0"/>
        </w:rPr>
        <w:t xml:space="preserve"> and </w:t>
      </w:r>
      <w:r w:rsidDel="00000000" w:rsidR="00000000" w:rsidRPr="00000000">
        <w:rPr>
          <w:i w:val="1"/>
          <w:rtl w:val="0"/>
        </w:rPr>
        <w:t xml:space="preserve">p</w:t>
      </w:r>
      <w:r w:rsidDel="00000000" w:rsidR="00000000" w:rsidRPr="00000000">
        <w:rPr>
          <w:i w:val="1"/>
          <w:vertAlign w:val="subscript"/>
          <w:rtl w:val="0"/>
        </w:rPr>
        <w:t xml:space="preserve">2016</w:t>
      </w:r>
      <w:r w:rsidDel="00000000" w:rsidR="00000000" w:rsidRPr="00000000">
        <w:rPr>
          <w:rtl w:val="0"/>
        </w:rPr>
        <w:t xml:space="preserve">​ are the known population counts from census years 2011 and 2016, respectively. Since DA boundaries are nested within CT boundaries, we derived CT-level population estimates by aggregating interpolated DA counts. For consistency, all interpolated values were rounded to the nearest integer. </w:t>
      </w:r>
    </w:p>
    <w:p w:rsidR="00000000" w:rsidDel="00000000" w:rsidP="00000000" w:rsidRDefault="00000000" w:rsidRPr="00000000" w14:paraId="00000022">
      <w:pPr>
        <w:numPr>
          <w:ilvl w:val="0"/>
          <w:numId w:val="10"/>
        </w:numPr>
        <w:spacing w:after="240" w:before="240" w:lineRule="auto"/>
        <w:ind w:left="1440" w:hanging="360"/>
        <w:rPr>
          <w:u w:val="none"/>
        </w:rPr>
      </w:pPr>
      <w:r w:rsidDel="00000000" w:rsidR="00000000" w:rsidRPr="00000000">
        <w:rPr>
          <w:rtl w:val="0"/>
        </w:rPr>
        <w:t xml:space="preserve">Geographic boundary changes were adjusted using </w:t>
      </w:r>
      <w:r w:rsidDel="00000000" w:rsidR="00000000" w:rsidRPr="00000000">
        <w:rPr>
          <w:b w:val="1"/>
          <w:rtl w:val="0"/>
        </w:rPr>
        <w:t xml:space="preserve">areal-weighted interpolation</w:t>
      </w:r>
      <w:r w:rsidDel="00000000" w:rsidR="00000000" w:rsidRPr="00000000">
        <w:rPr>
          <w:rtl w:val="0"/>
        </w:rPr>
        <w:t xml:space="preserve">. For example, to estimate DA population counts in 2016 based on the boundaries of the previous census, 2011, </w:t>
      </w:r>
      <w:r w:rsidDel="00000000" w:rsidR="00000000" w:rsidRPr="00000000">
        <w:rPr>
          <w:i w:val="1"/>
          <w:rtl w:val="0"/>
        </w:rPr>
        <w:t xml:space="preserve">p</w:t>
      </w:r>
      <w:r w:rsidDel="00000000" w:rsidR="00000000" w:rsidRPr="00000000">
        <w:rPr>
          <w:rFonts w:ascii="Cardo" w:cs="Cardo" w:eastAsia="Cardo" w:hAnsi="Cardo"/>
          <w:i w:val="1"/>
          <w:vertAlign w:val="subscript"/>
          <w:rtl w:val="0"/>
        </w:rPr>
        <w:t xml:space="preserve">2016↦2011</w:t>
      </w:r>
      <w:r w:rsidDel="00000000" w:rsidR="00000000" w:rsidRPr="00000000">
        <w:rPr>
          <w:rtl w:val="0"/>
        </w:rPr>
        <w:t xml:space="preserve">, using the following equation:</w:t>
      </w:r>
    </w:p>
    <w:tbl>
      <w:tblPr>
        <w:tblStyle w:val="Table3"/>
        <w:tblW w:w="6750.0" w:type="dxa"/>
        <w:jc w:val="left"/>
        <w:tblInd w:w="1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0"/>
        <w:tblGridChange w:id="0">
          <w:tblGrid>
            <w:gridCol w:w="675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drawing>
                <wp:inline distB="114300" distT="114300" distL="114300" distR="114300">
                  <wp:extent cx="2695575" cy="419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95575" cy="419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4">
      <w:pPr>
        <w:spacing w:before="240" w:line="240" w:lineRule="auto"/>
        <w:ind w:left="1440" w:firstLine="0"/>
        <w:rPr/>
      </w:pPr>
      <w:r w:rsidDel="00000000" w:rsidR="00000000" w:rsidRPr="00000000">
        <w:rPr>
          <w:rtl w:val="0"/>
        </w:rPr>
        <w:t xml:space="preserve">where </w:t>
      </w:r>
      <w:r w:rsidDel="00000000" w:rsidR="00000000" w:rsidRPr="00000000">
        <w:rPr>
          <w:i w:val="1"/>
          <w:rtl w:val="0"/>
        </w:rPr>
        <w:t xml:space="preserve">p</w:t>
      </w:r>
      <w:r w:rsidDel="00000000" w:rsidR="00000000" w:rsidRPr="00000000">
        <w:rPr>
          <w:rFonts w:ascii="Cardo" w:cs="Cardo" w:eastAsia="Cardo" w:hAnsi="Cardo"/>
          <w:i w:val="1"/>
          <w:vertAlign w:val="subscript"/>
          <w:rtl w:val="0"/>
        </w:rPr>
        <w:t xml:space="preserve">2016↦2016</w:t>
      </w:r>
      <w:r w:rsidDel="00000000" w:rsidR="00000000" w:rsidRPr="00000000">
        <w:rPr>
          <w:rtl w:val="0"/>
        </w:rPr>
        <w:t xml:space="preserve"> is the population of DA </w:t>
      </w:r>
      <w:r w:rsidDel="00000000" w:rsidR="00000000" w:rsidRPr="00000000">
        <w:rPr>
          <w:i w:val="1"/>
          <w:rtl w:val="0"/>
        </w:rPr>
        <w:t xml:space="preserve">j</w:t>
      </w:r>
      <w:r w:rsidDel="00000000" w:rsidR="00000000" w:rsidRPr="00000000">
        <w:rPr>
          <w:rtl w:val="0"/>
        </w:rPr>
        <w:t xml:space="preserve"> in 2016 based on its 2016 boundaries, </w:t>
      </w:r>
      <w:r w:rsidDel="00000000" w:rsidR="00000000" w:rsidRPr="00000000">
        <w:rPr>
          <w:i w:val="1"/>
          <w:rtl w:val="0"/>
        </w:rPr>
        <w:t xml:space="preserve">a</w:t>
      </w:r>
      <w:r w:rsidDel="00000000" w:rsidR="00000000" w:rsidRPr="00000000">
        <w:rPr>
          <w:i w:val="1"/>
          <w:vertAlign w:val="subscript"/>
          <w:rtl w:val="0"/>
        </w:rPr>
        <w:t xml:space="preserve">jk</w:t>
      </w:r>
      <w:r w:rsidDel="00000000" w:rsidR="00000000" w:rsidRPr="00000000">
        <w:rPr>
          <w:i w:val="1"/>
          <w:rtl w:val="0"/>
        </w:rPr>
        <w:t xml:space="preserve"> </w:t>
      </w:r>
      <w:r w:rsidDel="00000000" w:rsidR="00000000" w:rsidRPr="00000000">
        <w:rPr>
          <w:rtl w:val="0"/>
        </w:rPr>
        <w:t xml:space="preserve">is the land area of DA </w:t>
      </w:r>
      <w:r w:rsidDel="00000000" w:rsidR="00000000" w:rsidRPr="00000000">
        <w:rPr>
          <w:i w:val="1"/>
          <w:rtl w:val="0"/>
        </w:rPr>
        <w:t xml:space="preserve">j</w:t>
      </w:r>
      <w:r w:rsidDel="00000000" w:rsidR="00000000" w:rsidRPr="00000000">
        <w:rPr>
          <w:rtl w:val="0"/>
        </w:rPr>
        <w:t xml:space="preserve"> in 2016 that overlaps with the land area of a target DA </w:t>
      </w:r>
      <w:r w:rsidDel="00000000" w:rsidR="00000000" w:rsidRPr="00000000">
        <w:rPr>
          <w:i w:val="1"/>
          <w:rtl w:val="0"/>
        </w:rPr>
        <w:t xml:space="preserve">k </w:t>
      </w:r>
      <w:r w:rsidDel="00000000" w:rsidR="00000000" w:rsidRPr="00000000">
        <w:rPr>
          <w:rtl w:val="0"/>
        </w:rPr>
        <w:t xml:space="preserve">in 2011, and</w:t>
      </w:r>
      <w:r w:rsidDel="00000000" w:rsidR="00000000" w:rsidRPr="00000000">
        <w:rPr>
          <w:i w:val="1"/>
          <w:rtl w:val="0"/>
        </w:rPr>
        <w:t xml:space="preserve"> a</w:t>
      </w:r>
      <w:r w:rsidDel="00000000" w:rsidR="00000000" w:rsidRPr="00000000">
        <w:rPr>
          <w:i w:val="1"/>
          <w:vertAlign w:val="subscript"/>
          <w:rtl w:val="0"/>
        </w:rPr>
        <w:t xml:space="preserve">j</w:t>
      </w:r>
      <w:r w:rsidDel="00000000" w:rsidR="00000000" w:rsidRPr="00000000">
        <w:rPr>
          <w:rtl w:val="0"/>
        </w:rPr>
        <w:t xml:space="preserve"> is the total land area of DA </w:t>
      </w:r>
      <w:r w:rsidDel="00000000" w:rsidR="00000000" w:rsidRPr="00000000">
        <w:rPr>
          <w:i w:val="1"/>
          <w:rtl w:val="0"/>
        </w:rPr>
        <w:t xml:space="preserve">j </w:t>
      </w:r>
      <w:r w:rsidDel="00000000" w:rsidR="00000000" w:rsidRPr="00000000">
        <w:rPr>
          <w:rtl w:val="0"/>
        </w:rPr>
        <w:t xml:space="preserve">in 2016.</w:t>
      </w:r>
    </w:p>
    <w:p w:rsidR="00000000" w:rsidDel="00000000" w:rsidP="00000000" w:rsidRDefault="00000000" w:rsidRPr="00000000" w14:paraId="00000025">
      <w:pPr>
        <w:numPr>
          <w:ilvl w:val="0"/>
          <w:numId w:val="11"/>
        </w:numPr>
        <w:spacing w:after="0" w:afterAutospacing="0" w:before="240" w:lineRule="auto"/>
        <w:ind w:left="1440" w:hanging="360"/>
        <w:rPr>
          <w:u w:val="none"/>
        </w:rPr>
      </w:pPr>
      <w:r w:rsidDel="00000000" w:rsidR="00000000" w:rsidRPr="00000000">
        <w:rPr>
          <w:rtl w:val="0"/>
        </w:rPr>
        <w:t xml:space="preserve"> We obtained CT-level population count estimates for the intercensal years by aggregating interpolated DA counts.</w:t>
        <w:br w:type="textWrapping"/>
      </w:r>
    </w:p>
    <w:p w:rsidR="00000000" w:rsidDel="00000000" w:rsidP="00000000" w:rsidRDefault="00000000" w:rsidRPr="00000000" w14:paraId="0000002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What is the u</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nit of analysis of the </w:t>
      </w:r>
      <w:r w:rsidDel="00000000" w:rsidR="00000000" w:rsidRPr="00000000">
        <w:rPr>
          <w:b w:val="1"/>
          <w:sz w:val="24"/>
          <w:szCs w:val="24"/>
          <w:rtl w:val="0"/>
        </w:rPr>
        <w:t xml:space="preserve">indicator/model?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(e.g. households, persons, cities)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pPr>
      <w:r w:rsidDel="00000000" w:rsidR="00000000" w:rsidRPr="00000000">
        <w:rPr>
          <w:rtl w:val="0"/>
        </w:rPr>
        <w:t xml:space="preserve">Dissemination Areas (400–700 residents) and Census Tracts (2,500–7,500 residents).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can the indicator be integrated with other datasets?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pPr>
      <w:r w:rsidDel="00000000" w:rsidR="00000000" w:rsidRPr="00000000">
        <w:rPr>
          <w:rtl w:val="0"/>
        </w:rPr>
        <w:t xml:space="preserve">Population counts can be linked with other datasets at DA or CT level. It can also be linked to datasets containing postal codes, such as the administrative health database, via postal codes using Postal Code OM Conversion File Plud (PCCF+).</w:t>
      </w:r>
      <w:hyperlink r:id="rId9">
        <w:r w:rsidDel="00000000" w:rsidR="00000000" w:rsidRPr="00000000">
          <w:rPr>
            <w:b w:val="0"/>
            <w:color w:val="000000"/>
            <w:u w:val="none"/>
            <w:rtl w:val="0"/>
          </w:rPr>
          <w:t xml:space="preserve">(Statistics Canada, 2016b)</w:t>
        </w:r>
      </w:hyperlink>
      <w:r w:rsidDel="00000000" w:rsidR="00000000" w:rsidRPr="00000000">
        <w:rPr>
          <w:rtl w:val="0"/>
        </w:rPr>
        <w:t xml:space="preserve"> Researchers can also aggregate DAs to align with health regions, municipalities, provinces, or CMAs.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What are the b</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oundaries of the indicator/model?</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pPr>
      <w:r w:rsidDel="00000000" w:rsidR="00000000" w:rsidRPr="00000000">
        <w:rPr>
          <w:rtl w:val="0"/>
        </w:rPr>
        <w:t xml:space="preserve">Counts range from </w:t>
      </w:r>
      <w:r w:rsidDel="00000000" w:rsidR="00000000" w:rsidRPr="00000000">
        <w:rPr>
          <w:b w:val="1"/>
          <w:rtl w:val="0"/>
        </w:rPr>
        <w:t xml:space="preserve">0 to several thousand,</w:t>
      </w:r>
      <w:r w:rsidDel="00000000" w:rsidR="00000000" w:rsidRPr="00000000">
        <w:rPr>
          <w:rtl w:val="0"/>
        </w:rPr>
        <w:t xml:space="preserve"> depending on DA/CT size.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you want to add a model to CSDUL, is this associated with a hypothesis? If yes, please describe their:</w:t>
      </w:r>
    </w:p>
    <w:p w:rsidR="00000000" w:rsidDel="00000000" w:rsidP="00000000" w:rsidRDefault="00000000" w:rsidRPr="00000000" w14:paraId="0000003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Null hypothesis</w:t>
      </w:r>
    </w:p>
    <w:p w:rsidR="00000000" w:rsidDel="00000000" w:rsidP="00000000" w:rsidRDefault="00000000" w:rsidRPr="00000000" w14:paraId="0000003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Alternative hypothesis</w:t>
      </w:r>
    </w:p>
    <w:p w:rsidR="00000000" w:rsidDel="00000000" w:rsidP="00000000" w:rsidRDefault="00000000" w:rsidRPr="00000000" w14:paraId="00000032">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 implications of rejecting the null hypothesis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N/A</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interpretation of the values of the indicator/model?</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pPr>
      <w:r w:rsidDel="00000000" w:rsidR="00000000" w:rsidRPr="00000000">
        <w:rPr>
          <w:rtl w:val="0"/>
        </w:rPr>
        <w:t xml:space="preserve">The values represent the estimated population of each DA or CT for a given year. They can be used as denominators for calculating rates (e.g., mortality, hospitalization, prevalence of conditions) or to track demographic changes at the local level.</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Based on the literature and your experience working with this indicator/model</w:t>
      </w:r>
      <w:r w:rsidDel="00000000" w:rsidR="00000000" w:rsidRPr="00000000">
        <w:rPr>
          <w:b w:val="1"/>
          <w:sz w:val="24"/>
          <w:szCs w:val="24"/>
          <w:rtl w:val="0"/>
        </w:rPr>
        <w:t xml:space="preserve">, 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 it possible to identify weaknesses in its calculations or assumptions? To facilitate your answer, you can focus on:</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Potential biases</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Overestimation</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Underestimation</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Omitted variables</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Endogeneity</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Datasets</w:t>
      </w:r>
      <w:r w:rsidDel="00000000" w:rsidR="00000000" w:rsidRPr="00000000">
        <w:rPr>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problems</w:t>
      </w:r>
    </w:p>
    <w:p w:rsidR="00000000" w:rsidDel="00000000" w:rsidP="00000000" w:rsidRDefault="00000000" w:rsidRPr="00000000" w14:paraId="0000003E">
      <w:pPr>
        <w:ind w:left="1440" w:firstLine="0"/>
        <w:rPr>
          <w:b w:val="1"/>
        </w:rPr>
      </w:pPr>
      <w:r w:rsidDel="00000000" w:rsidR="00000000" w:rsidRPr="00000000">
        <w:rPr>
          <w:rtl w:val="0"/>
        </w:rPr>
      </w:r>
    </w:p>
    <w:p w:rsidR="00000000" w:rsidDel="00000000" w:rsidP="00000000" w:rsidRDefault="00000000" w:rsidRPr="00000000" w14:paraId="0000003F">
      <w:pPr>
        <w:numPr>
          <w:ilvl w:val="0"/>
          <w:numId w:val="1"/>
        </w:numPr>
        <w:spacing w:after="200" w:lineRule="auto"/>
        <w:ind w:left="1440" w:hanging="360"/>
        <w:rPr>
          <w:u w:val="none"/>
        </w:rPr>
      </w:pPr>
      <w:r w:rsidDel="00000000" w:rsidR="00000000" w:rsidRPr="00000000">
        <w:rPr>
          <w:rtl w:val="0"/>
        </w:rPr>
        <w:t xml:space="preserve">Linear interpolation may under- or over-estimate changes in rapidly growing or declining areas.</w:t>
      </w:r>
    </w:p>
    <w:p w:rsidR="00000000" w:rsidDel="00000000" w:rsidP="00000000" w:rsidRDefault="00000000" w:rsidRPr="00000000" w14:paraId="00000040">
      <w:pPr>
        <w:numPr>
          <w:ilvl w:val="0"/>
          <w:numId w:val="1"/>
        </w:numPr>
        <w:spacing w:after="200" w:before="0" w:lineRule="auto"/>
        <w:ind w:left="1440" w:hanging="360"/>
        <w:rPr>
          <w:u w:val="none"/>
        </w:rPr>
      </w:pPr>
      <w:r w:rsidDel="00000000" w:rsidR="00000000" w:rsidRPr="00000000">
        <w:rPr>
          <w:rtl w:val="0"/>
        </w:rPr>
        <w:t xml:space="preserve">Areal-weighted methods assume uniform distribution within DAs, which may not reflect reality.</w:t>
      </w:r>
    </w:p>
    <w:p w:rsidR="00000000" w:rsidDel="00000000" w:rsidP="00000000" w:rsidRDefault="00000000" w:rsidRPr="00000000" w14:paraId="00000041">
      <w:pPr>
        <w:numPr>
          <w:ilvl w:val="0"/>
          <w:numId w:val="1"/>
        </w:numPr>
        <w:spacing w:after="200" w:before="0" w:lineRule="auto"/>
        <w:ind w:left="1440" w:hanging="360"/>
        <w:rPr>
          <w:u w:val="none"/>
        </w:rPr>
      </w:pPr>
      <w:r w:rsidDel="00000000" w:rsidR="00000000" w:rsidRPr="00000000">
        <w:rPr>
          <w:rtl w:val="0"/>
        </w:rPr>
        <w:t xml:space="preserve">Random rounding in census data introduces a minor error.</w:t>
      </w:r>
    </w:p>
    <w:p w:rsidR="00000000" w:rsidDel="00000000" w:rsidP="00000000" w:rsidRDefault="00000000" w:rsidRPr="00000000" w14:paraId="00000042">
      <w:pPr>
        <w:numPr>
          <w:ilvl w:val="0"/>
          <w:numId w:val="1"/>
        </w:numPr>
        <w:spacing w:after="200" w:lineRule="auto"/>
        <w:ind w:left="1440" w:hanging="360"/>
        <w:rPr>
          <w:u w:val="none"/>
        </w:rPr>
      </w:pPr>
      <w:r w:rsidDel="00000000" w:rsidR="00000000" w:rsidRPr="00000000">
        <w:rPr>
          <w:rtl w:val="0"/>
        </w:rPr>
        <w:t xml:space="preserve">Intercensal counts are estimates, not official Statistics Canada values.</w:t>
      </w:r>
    </w:p>
    <w:p w:rsidR="00000000" w:rsidDel="00000000" w:rsidP="00000000" w:rsidRDefault="00000000" w:rsidRPr="00000000" w14:paraId="00000043">
      <w:pPr>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Does the indicator/model have other mathematical or computational versions (not syntax) to build it? (provide references) </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t xml:space="preserve">Yes. Alternatives include </w:t>
      </w:r>
      <w:r w:rsidDel="00000000" w:rsidR="00000000" w:rsidRPr="00000000">
        <w:rPr>
          <w:b w:val="1"/>
          <w:rtl w:val="0"/>
        </w:rPr>
        <w:t xml:space="preserve">population-weighted areal interpolation</w:t>
      </w:r>
      <w:r w:rsidDel="00000000" w:rsidR="00000000" w:rsidRPr="00000000">
        <w:rPr>
          <w:rtl w:val="0"/>
        </w:rPr>
        <w:t xml:space="preserve"> and </w:t>
      </w:r>
      <w:r w:rsidDel="00000000" w:rsidR="00000000" w:rsidRPr="00000000">
        <w:rPr>
          <w:b w:val="1"/>
          <w:rtl w:val="0"/>
        </w:rPr>
        <w:t xml:space="preserve">dasymetric mapping techniques</w:t>
      </w:r>
      <w:r w:rsidDel="00000000" w:rsidR="00000000" w:rsidRPr="00000000">
        <w:rPr>
          <w:rtl w:val="0"/>
        </w:rPr>
        <w:t xml:space="preserve"> (used in the Canadian Longitudinal Census Tract Database, CLTD).</w:t>
      </w:r>
      <w:hyperlink r:id="rId10">
        <w:r w:rsidDel="00000000" w:rsidR="00000000" w:rsidRPr="00000000">
          <w:rPr>
            <w:b w:val="0"/>
            <w:color w:val="000000"/>
            <w:u w:val="none"/>
            <w:rtl w:val="0"/>
          </w:rPr>
          <w:t xml:space="preserve">(Allen &amp; Taylor, 2018)</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are you building the indicator/model as you propose? Are there advantages </w:t>
      </w:r>
      <w:r w:rsidDel="00000000" w:rsidR="00000000" w:rsidRPr="00000000">
        <w:rPr>
          <w:b w:val="1"/>
          <w:sz w:val="24"/>
          <w:szCs w:val="24"/>
          <w:rtl w:val="0"/>
        </w:rPr>
        <w:t xml:space="preserve">compared to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other versions?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This method is simple, transparent, reproducible, and scalable. It requires no GIS expertise and aligns with Statistics Canada’s own intercensal estimation methods at higher geographic levels.</w:t>
      </w:r>
      <w:hyperlink r:id="rId11">
        <w:r w:rsidDel="00000000" w:rsidR="00000000" w:rsidRPr="00000000">
          <w:rPr>
            <w:b w:val="0"/>
            <w:color w:val="000000"/>
            <w:u w:val="none"/>
            <w:rtl w:val="0"/>
          </w:rPr>
          <w:t xml:space="preserve">(Statistics Canada, 2016a; Weden et al., 2015)</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 you </w:t>
      </w:r>
      <w:r w:rsidDel="00000000" w:rsidR="00000000" w:rsidRPr="00000000">
        <w:rPr>
          <w:b w:val="1"/>
          <w:sz w:val="24"/>
          <w:szCs w:val="24"/>
          <w:rtl w:val="0"/>
        </w:rPr>
        <w:t xml:space="preserve">see potential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improvements </w:t>
      </w:r>
      <w:r w:rsidDel="00000000" w:rsidR="00000000" w:rsidRPr="00000000">
        <w:rPr>
          <w:b w:val="1"/>
          <w:sz w:val="24"/>
          <w:szCs w:val="24"/>
          <w:rtl w:val="0"/>
        </w:rPr>
        <w:t xml:space="preserve">for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the indicator/model? Th</w:t>
      </w:r>
      <w:r w:rsidDel="00000000" w:rsidR="00000000" w:rsidRPr="00000000">
        <w:rPr>
          <w:b w:val="1"/>
          <w:sz w:val="24"/>
          <w:szCs w:val="24"/>
          <w:rtl w:val="0"/>
        </w:rPr>
        <w:t xml:space="preserve">is could involve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using other datasets, refining calculations, or modifying assumptions, among others.</w:t>
      </w:r>
    </w:p>
    <w:p w:rsidR="00000000" w:rsidDel="00000000" w:rsidP="00000000" w:rsidRDefault="00000000" w:rsidRPr="00000000" w14:paraId="0000004B">
      <w:pPr>
        <w:numPr>
          <w:ilvl w:val="0"/>
          <w:numId w:val="9"/>
        </w:numPr>
        <w:spacing w:after="0" w:afterAutospacing="0" w:lineRule="auto"/>
        <w:ind w:left="720" w:hanging="360"/>
        <w:rPr/>
      </w:pPr>
      <w:bookmarkStart w:colFirst="0" w:colLast="0" w:name="_44hp8oxkqr5s" w:id="2"/>
      <w:bookmarkEnd w:id="2"/>
      <w:r w:rsidDel="00000000" w:rsidR="00000000" w:rsidRPr="00000000">
        <w:rPr>
          <w:rtl w:val="0"/>
        </w:rPr>
        <w:t xml:space="preserve">Incorporate population-weighted or dasymetric methods for greater accuracy.</w:t>
      </w:r>
    </w:p>
    <w:p w:rsidR="00000000" w:rsidDel="00000000" w:rsidP="00000000" w:rsidRDefault="00000000" w:rsidRPr="00000000" w14:paraId="0000004C">
      <w:pPr>
        <w:numPr>
          <w:ilvl w:val="0"/>
          <w:numId w:val="9"/>
        </w:numPr>
        <w:spacing w:after="0" w:afterAutospacing="0" w:lineRule="auto"/>
        <w:ind w:left="720" w:hanging="360"/>
        <w:rPr/>
      </w:pPr>
      <w:bookmarkStart w:colFirst="0" w:colLast="0" w:name="_44hp8oxkqr5s" w:id="2"/>
      <w:bookmarkEnd w:id="2"/>
      <w:r w:rsidDel="00000000" w:rsidR="00000000" w:rsidRPr="00000000">
        <w:rPr>
          <w:rtl w:val="0"/>
        </w:rPr>
        <w:t xml:space="preserve">Automate updating as new census data is released.</w:t>
      </w:r>
    </w:p>
    <w:p w:rsidR="00000000" w:rsidDel="00000000" w:rsidP="00000000" w:rsidRDefault="00000000" w:rsidRPr="00000000" w14:paraId="0000004D">
      <w:pPr>
        <w:numPr>
          <w:ilvl w:val="0"/>
          <w:numId w:val="9"/>
        </w:numPr>
        <w:spacing w:after="160" w:lineRule="auto"/>
        <w:ind w:left="720" w:hanging="360"/>
        <w:rPr>
          <w:u w:val="none"/>
        </w:rPr>
      </w:pPr>
      <w:bookmarkStart w:colFirst="0" w:colLast="0" w:name="_vr3t5k518s84" w:id="3"/>
      <w:bookmarkEnd w:id="3"/>
      <w:r w:rsidDel="00000000" w:rsidR="00000000" w:rsidRPr="00000000">
        <w:rPr>
          <w:rtl w:val="0"/>
        </w:rPr>
      </w:r>
    </w:p>
    <w:p w:rsidR="00000000" w:rsidDel="00000000" w:rsidP="00000000" w:rsidRDefault="00000000" w:rsidRPr="00000000" w14:paraId="0000004E">
      <w:pPr>
        <w:rPr>
          <w:rFonts w:ascii="Calibri" w:cs="Calibri" w:eastAsia="Calibri" w:hAnsi="Calibri"/>
          <w:b w:val="1"/>
          <w:color w:val="c00000"/>
          <w:sz w:val="24"/>
          <w:szCs w:val="24"/>
        </w:rPr>
      </w:pPr>
      <w:r w:rsidDel="00000000" w:rsidR="00000000" w:rsidRPr="00000000">
        <w:rPr>
          <w:rFonts w:ascii="Calibri" w:cs="Calibri" w:eastAsia="Calibri" w:hAnsi="Calibri"/>
          <w:b w:val="1"/>
          <w:color w:val="c00000"/>
          <w:sz w:val="24"/>
          <w:szCs w:val="24"/>
          <w:rtl w:val="0"/>
        </w:rPr>
        <w:t xml:space="preserve">What inputs are to be added to CSDUL? Write “X”</w:t>
      </w:r>
    </w:p>
    <w:tbl>
      <w:tblPr>
        <w:tblStyle w:val="Table4"/>
        <w:tblW w:w="99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0"/>
        <w:gridCol w:w="7935"/>
        <w:tblGridChange w:id="0">
          <w:tblGrid>
            <w:gridCol w:w="2040"/>
            <w:gridCol w:w="7935"/>
          </w:tblGrid>
        </w:tblGridChange>
      </w:tblGrid>
      <w:tr>
        <w:trPr>
          <w:cantSplit w:val="0"/>
          <w:tblHeader w:val="0"/>
        </w:trPr>
        <w:tc>
          <w:tcPr>
            <w:vAlign w:val="center"/>
          </w:tcPr>
          <w:p w:rsidR="00000000" w:rsidDel="00000000" w:rsidP="00000000" w:rsidRDefault="00000000" w:rsidRPr="00000000" w14:paraId="0000004F">
            <w:pPr>
              <w:rPr>
                <w:rFonts w:ascii="Calibri" w:cs="Calibri" w:eastAsia="Calibri" w:hAnsi="Calibri"/>
                <w:b w:val="1"/>
                <w:color w:val="000000"/>
                <w:sz w:val="24"/>
                <w:szCs w:val="24"/>
              </w:rPr>
            </w:pPr>
            <w:r w:rsidDel="00000000" w:rsidR="00000000" w:rsidRPr="00000000">
              <w:rPr>
                <w:b w:val="1"/>
                <w:sz w:val="24"/>
                <w:szCs w:val="24"/>
                <w:rtl w:val="0"/>
              </w:rPr>
              <w:t xml:space="preserve">Publicly available on the Statscan website</w:t>
            </w:r>
            <w:r w:rsidDel="00000000" w:rsidR="00000000" w:rsidRPr="00000000">
              <w:rPr>
                <w:rtl w:val="0"/>
              </w:rPr>
            </w:r>
          </w:p>
        </w:tc>
        <w:tc>
          <w:tcP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Raw or intermediate datasets </w:t>
            </w:r>
            <w:r w:rsidDel="00000000" w:rsidR="00000000" w:rsidRPr="00000000">
              <w:rPr>
                <w:rFonts w:ascii="Times New Roman" w:cs="Times New Roman" w:eastAsia="Times New Roman" w:hAnsi="Times New Roman"/>
                <w:sz w:val="24"/>
                <w:szCs w:val="24"/>
                <w:rtl w:val="0"/>
              </w:rPr>
              <w:t xml:space="preserve">required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create the indicator/model.</w:t>
            </w:r>
          </w:p>
        </w:tc>
      </w:tr>
      <w:tr>
        <w:trPr>
          <w:cantSplit w:val="0"/>
          <w:tblHeader w:val="0"/>
        </w:trPr>
        <w:tc>
          <w:tcPr>
            <w:vAlign w:val="center"/>
          </w:tcPr>
          <w:p w:rsidR="00000000" w:rsidDel="00000000" w:rsidP="00000000" w:rsidRDefault="00000000" w:rsidRPr="00000000" w14:paraId="00000051">
            <w:pPr>
              <w:rPr>
                <w:rFonts w:ascii="Calibri" w:cs="Calibri" w:eastAsia="Calibri" w:hAnsi="Calibri"/>
                <w:b w:val="1"/>
                <w:color w:val="000000"/>
                <w:sz w:val="24"/>
                <w:szCs w:val="24"/>
              </w:rPr>
            </w:pPr>
            <w:r w:rsidDel="00000000" w:rsidR="00000000" w:rsidRPr="00000000">
              <w:rPr>
                <w:b w:val="1"/>
                <w:sz w:val="24"/>
                <w:szCs w:val="24"/>
                <w:rtl w:val="0"/>
              </w:rPr>
              <w:t xml:space="preserve">X</w:t>
            </w:r>
            <w:r w:rsidDel="00000000" w:rsidR="00000000" w:rsidRPr="00000000">
              <w:rPr>
                <w:rtl w:val="0"/>
              </w:rPr>
            </w:r>
          </w:p>
        </w:tc>
        <w:tc>
          <w:tcPr>
            <w:vAlign w:val="cente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Codes that create the indicator/model (</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sure that your code is clear enough to be replicated in the future for yourself or any other researcher).</w:t>
            </w:r>
          </w:p>
        </w:tc>
      </w:tr>
      <w:tr>
        <w:trPr>
          <w:cantSplit w:val="0"/>
          <w:tblHeader w:val="0"/>
        </w:trPr>
        <w:tc>
          <w:tcPr>
            <w:vAlign w:val="center"/>
          </w:tcPr>
          <w:p w:rsidR="00000000" w:rsidDel="00000000" w:rsidP="00000000" w:rsidRDefault="00000000" w:rsidRPr="00000000" w14:paraId="00000053">
            <w:pPr>
              <w:rPr>
                <w:rFonts w:ascii="Calibri" w:cs="Calibri" w:eastAsia="Calibri" w:hAnsi="Calibri"/>
                <w:b w:val="1"/>
                <w:color w:val="000000"/>
                <w:sz w:val="24"/>
                <w:szCs w:val="24"/>
              </w:rPr>
            </w:pPr>
            <w:r w:rsidDel="00000000" w:rsidR="00000000" w:rsidRPr="00000000">
              <w:rPr>
                <w:b w:val="1"/>
                <w:sz w:val="24"/>
                <w:szCs w:val="24"/>
                <w:rtl w:val="0"/>
              </w:rPr>
              <w:t xml:space="preserve">X</w:t>
            </w:r>
            <w:r w:rsidDel="00000000" w:rsidR="00000000" w:rsidRPr="00000000">
              <w:rPr>
                <w:rtl w:val="0"/>
              </w:rPr>
            </w:r>
          </w:p>
        </w:tc>
        <w:tc>
          <w:tcPr>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 that explains step by step the entire process that builds the indicator or model.</w:t>
            </w:r>
          </w:p>
        </w:tc>
      </w:tr>
      <w:tr>
        <w:trPr>
          <w:cantSplit w:val="0"/>
          <w:tblHeader w:val="0"/>
        </w:trPr>
        <w:tc>
          <w:tcPr>
            <w:vAlign w:val="center"/>
          </w:tcPr>
          <w:p w:rsidR="00000000" w:rsidDel="00000000" w:rsidP="00000000" w:rsidRDefault="00000000" w:rsidRPr="00000000" w14:paraId="00000055">
            <w:pPr>
              <w:rPr>
                <w:rFonts w:ascii="Calibri" w:cs="Calibri" w:eastAsia="Calibri" w:hAnsi="Calibri"/>
                <w:b w:val="1"/>
                <w:color w:val="000000"/>
                <w:sz w:val="24"/>
                <w:szCs w:val="24"/>
              </w:rPr>
            </w:pPr>
            <w:r w:rsidDel="00000000" w:rsidR="00000000" w:rsidRPr="00000000">
              <w:rPr>
                <w:b w:val="1"/>
                <w:sz w:val="24"/>
                <w:szCs w:val="24"/>
                <w:rtl w:val="0"/>
              </w:rPr>
              <w:t xml:space="preserve">X</w:t>
            </w:r>
            <w:r w:rsidDel="00000000" w:rsidR="00000000" w:rsidRPr="00000000">
              <w:rPr>
                <w:rtl w:val="0"/>
              </w:rPr>
            </w:r>
          </w:p>
        </w:tc>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 which consist of the list of variables, indicators, or model results. </w:t>
            </w:r>
          </w:p>
        </w:tc>
      </w:tr>
      <w:tr>
        <w:trPr>
          <w:cantSplit w:val="0"/>
          <w:tblHeader w:val="0"/>
        </w:trPr>
        <w:tc>
          <w:tcPr>
            <w:vAlign w:val="center"/>
          </w:tcPr>
          <w:p w:rsidR="00000000" w:rsidDel="00000000" w:rsidP="00000000" w:rsidRDefault="00000000" w:rsidRPr="00000000" w14:paraId="00000057">
            <w:pPr>
              <w:rPr>
                <w:rFonts w:ascii="Calibri" w:cs="Calibri" w:eastAsia="Calibri" w:hAnsi="Calibri"/>
                <w:b w:val="1"/>
                <w:color w:val="000000"/>
                <w:sz w:val="24"/>
                <w:szCs w:val="24"/>
              </w:rPr>
            </w:pPr>
            <w:r w:rsidDel="00000000" w:rsidR="00000000" w:rsidRPr="00000000">
              <w:rPr>
                <w:b w:val="1"/>
                <w:sz w:val="24"/>
                <w:szCs w:val="24"/>
                <w:rtl w:val="0"/>
              </w:rPr>
              <w:t xml:space="preserve">X</w:t>
            </w:r>
            <w:r w:rsidDel="00000000" w:rsidR="00000000" w:rsidRPr="00000000">
              <w:rPr>
                <w:rtl w:val="0"/>
              </w:rPr>
            </w:r>
          </w:p>
        </w:tc>
        <w:tc>
          <w:tcPr>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files. They can be papers, chapter books, codes, etc.</w:t>
            </w:r>
          </w:p>
        </w:tc>
      </w:tr>
    </w:tbl>
    <w:p w:rsidR="00000000" w:rsidDel="00000000" w:rsidP="00000000" w:rsidRDefault="00000000" w:rsidRPr="00000000" w14:paraId="00000059">
      <w:pPr>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5A">
      <w:pPr>
        <w:spacing w:after="160" w:line="259" w:lineRule="auto"/>
        <w:rPr>
          <w:rFonts w:ascii="Calibri" w:cs="Calibri" w:eastAsia="Calibri" w:hAnsi="Calibri"/>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B">
      <w:pPr>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Calibri" w:cs="Calibri" w:eastAsia="Calibri" w:hAnsi="Calibri"/>
          <w:b w:val="1"/>
          <w:color w:val="000000"/>
          <w:sz w:val="24"/>
          <w:szCs w:val="24"/>
          <w:rtl w:val="0"/>
        </w:rPr>
        <w:t xml:space="preserve">References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480" w:lineRule="auto"/>
        <w:ind w:left="440" w:right="0" w:hanging="440"/>
        <w:jc w:val="left"/>
        <w:rPr>
          <w:b w:val="0"/>
          <w:i w:val="0"/>
          <w:color w:val="000000"/>
          <w:sz w:val="22"/>
          <w:szCs w:val="22"/>
        </w:rPr>
      </w:pPr>
      <w:hyperlink r:id="rId12">
        <w:r w:rsidDel="00000000" w:rsidR="00000000" w:rsidRPr="00000000">
          <w:rPr>
            <w:b w:val="0"/>
            <w:i w:val="0"/>
            <w:color w:val="000000"/>
            <w:sz w:val="22"/>
            <w:szCs w:val="22"/>
            <w:u w:val="none"/>
            <w:rtl w:val="0"/>
          </w:rPr>
          <w:t xml:space="preserve">Allen, J., &amp; Taylor, Z. (2018). A new tool for neighbourhood change research: The Canadian Longitudinal Census Tract Database, 1971–2016: Canadian Longitudinal Tract Database. </w:t>
        </w:r>
      </w:hyperlink>
      <w:hyperlink r:id="rId13">
        <w:r w:rsidDel="00000000" w:rsidR="00000000" w:rsidRPr="00000000">
          <w:rPr>
            <w:b w:val="0"/>
            <w:i w:val="1"/>
            <w:color w:val="000000"/>
            <w:sz w:val="22"/>
            <w:szCs w:val="22"/>
            <w:u w:val="none"/>
            <w:rtl w:val="0"/>
          </w:rPr>
          <w:t xml:space="preserve">The Canadian Geographer. Geographe Canadien</w:t>
        </w:r>
      </w:hyperlink>
      <w:hyperlink r:id="rId14">
        <w:r w:rsidDel="00000000" w:rsidR="00000000" w:rsidRPr="00000000">
          <w:rPr>
            <w:b w:val="0"/>
            <w:i w:val="0"/>
            <w:color w:val="000000"/>
            <w:sz w:val="22"/>
            <w:szCs w:val="22"/>
            <w:u w:val="none"/>
            <w:rtl w:val="0"/>
          </w:rPr>
          <w:t xml:space="preserve">, </w:t>
        </w:r>
      </w:hyperlink>
      <w:hyperlink r:id="rId15">
        <w:r w:rsidDel="00000000" w:rsidR="00000000" w:rsidRPr="00000000">
          <w:rPr>
            <w:b w:val="0"/>
            <w:i w:val="1"/>
            <w:color w:val="000000"/>
            <w:sz w:val="22"/>
            <w:szCs w:val="22"/>
            <w:u w:val="none"/>
            <w:rtl w:val="0"/>
          </w:rPr>
          <w:t xml:space="preserve">62</w:t>
        </w:r>
      </w:hyperlink>
      <w:hyperlink r:id="rId16">
        <w:r w:rsidDel="00000000" w:rsidR="00000000" w:rsidRPr="00000000">
          <w:rPr>
            <w:b w:val="0"/>
            <w:i w:val="0"/>
            <w:color w:val="000000"/>
            <w:sz w:val="22"/>
            <w:szCs w:val="22"/>
            <w:u w:val="none"/>
            <w:rtl w:val="0"/>
          </w:rPr>
          <w:t xml:space="preserve">(4), 575–588.</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7">
        <w:r w:rsidDel="00000000" w:rsidR="00000000" w:rsidRPr="00000000">
          <w:rPr>
            <w:b w:val="0"/>
            <w:i w:val="0"/>
            <w:color w:val="000000"/>
            <w:sz w:val="22"/>
            <w:szCs w:val="22"/>
            <w:u w:val="none"/>
            <w:rtl w:val="0"/>
          </w:rPr>
          <w:t xml:space="preserve">Statistics Canada. (2016a). </w:t>
        </w:r>
      </w:hyperlink>
      <w:hyperlink r:id="rId18">
        <w:r w:rsidDel="00000000" w:rsidR="00000000" w:rsidRPr="00000000">
          <w:rPr>
            <w:b w:val="0"/>
            <w:i w:val="1"/>
            <w:color w:val="000000"/>
            <w:sz w:val="22"/>
            <w:szCs w:val="22"/>
            <w:u w:val="none"/>
            <w:rtl w:val="0"/>
          </w:rPr>
          <w:t xml:space="preserve">Population and Family Estimation Methods at Statistics Canada</w:t>
        </w:r>
      </w:hyperlink>
      <w:hyperlink r:id="rId19">
        <w:r w:rsidDel="00000000" w:rsidR="00000000" w:rsidRPr="00000000">
          <w:rPr>
            <w:b w:val="0"/>
            <w:i w:val="0"/>
            <w:color w:val="000000"/>
            <w:sz w:val="22"/>
            <w:szCs w:val="22"/>
            <w:u w:val="none"/>
            <w:rtl w:val="0"/>
          </w:rPr>
          <w:t xml:space="preserve">. Statistics Canada.</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20">
        <w:r w:rsidDel="00000000" w:rsidR="00000000" w:rsidRPr="00000000">
          <w:rPr>
            <w:b w:val="0"/>
            <w:i w:val="0"/>
            <w:color w:val="000000"/>
            <w:sz w:val="22"/>
            <w:szCs w:val="22"/>
            <w:u w:val="none"/>
            <w:rtl w:val="0"/>
          </w:rPr>
          <w:t xml:space="preserve">Statistics Canada. (2016b). </w:t>
        </w:r>
      </w:hyperlink>
      <w:hyperlink r:id="rId21">
        <w:r w:rsidDel="00000000" w:rsidR="00000000" w:rsidRPr="00000000">
          <w:rPr>
            <w:b w:val="0"/>
            <w:i w:val="1"/>
            <w:color w:val="000000"/>
            <w:sz w:val="22"/>
            <w:szCs w:val="22"/>
            <w:u w:val="none"/>
            <w:rtl w:val="0"/>
          </w:rPr>
          <w:t xml:space="preserve">Postal CodeOM Conversion File Plus (PCCF+) Version 6C, Reference Guide. August 2015 Postal Codes</w:t>
        </w:r>
      </w:hyperlink>
      <w:hyperlink r:id="rId22">
        <w:r w:rsidDel="00000000" w:rsidR="00000000" w:rsidRPr="00000000">
          <w:rPr>
            <w:b w:val="0"/>
            <w:i w:val="0"/>
            <w:color w:val="000000"/>
            <w:sz w:val="22"/>
            <w:szCs w:val="22"/>
            <w:u w:val="none"/>
            <w:rtl w:val="0"/>
          </w:rPr>
          <w:t xml:space="preserve"> (Version 6c). Statistics Canada. </w:t>
        </w:r>
      </w:hyperlink>
      <w:hyperlink r:id="rId23">
        <w:r w:rsidDel="00000000" w:rsidR="00000000" w:rsidRPr="00000000">
          <w:rPr>
            <w:b w:val="0"/>
            <w:i w:val="0"/>
            <w:color w:val="000000"/>
            <w:sz w:val="22"/>
            <w:szCs w:val="22"/>
            <w:u w:val="none"/>
            <w:rtl w:val="0"/>
          </w:rPr>
          <w:t xml:space="preserve">https://mdl.library.utoronto.ca/sites/default/files/mdldata/open/canada/national/statcan/postalcodes/pccfplus/2011/2015aug/82-F0086-XDB-2016v6c-eng.pdf</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480" w:lineRule="auto"/>
        <w:ind w:left="440" w:right="0" w:hanging="440"/>
        <w:jc w:val="left"/>
        <w:rPr>
          <w:b w:val="0"/>
          <w:i w:val="0"/>
          <w:color w:val="000000"/>
          <w:sz w:val="22"/>
          <w:szCs w:val="22"/>
        </w:rPr>
      </w:pPr>
      <w:hyperlink r:id="rId24">
        <w:r w:rsidDel="00000000" w:rsidR="00000000" w:rsidRPr="00000000">
          <w:rPr>
            <w:b w:val="0"/>
            <w:i w:val="0"/>
            <w:color w:val="000000"/>
            <w:sz w:val="22"/>
            <w:szCs w:val="22"/>
            <w:u w:val="none"/>
            <w:rtl w:val="0"/>
          </w:rPr>
          <w:t xml:space="preserve">Weden, M. M., Peterson, C. E., Miles, J. N., &amp; Shih, R. A. (2015). Evaluating linearly interpolated intercensal estimates of demographic and socioeconomic characteristics of U.s. counties and census tracts 2001-2009. </w:t>
        </w:r>
      </w:hyperlink>
      <w:hyperlink r:id="rId25">
        <w:r w:rsidDel="00000000" w:rsidR="00000000" w:rsidRPr="00000000">
          <w:rPr>
            <w:b w:val="0"/>
            <w:i w:val="1"/>
            <w:color w:val="000000"/>
            <w:sz w:val="22"/>
            <w:szCs w:val="22"/>
            <w:u w:val="none"/>
            <w:rtl w:val="0"/>
          </w:rPr>
          <w:t xml:space="preserve">Population Research and Policy Review</w:t>
        </w:r>
      </w:hyperlink>
      <w:hyperlink r:id="rId26">
        <w:r w:rsidDel="00000000" w:rsidR="00000000" w:rsidRPr="00000000">
          <w:rPr>
            <w:b w:val="0"/>
            <w:i w:val="0"/>
            <w:color w:val="000000"/>
            <w:sz w:val="22"/>
            <w:szCs w:val="22"/>
            <w:u w:val="none"/>
            <w:rtl w:val="0"/>
          </w:rPr>
          <w:t xml:space="preserve">, </w:t>
        </w:r>
      </w:hyperlink>
      <w:hyperlink r:id="rId27">
        <w:r w:rsidDel="00000000" w:rsidR="00000000" w:rsidRPr="00000000">
          <w:rPr>
            <w:b w:val="0"/>
            <w:i w:val="1"/>
            <w:color w:val="000000"/>
            <w:sz w:val="22"/>
            <w:szCs w:val="22"/>
            <w:u w:val="none"/>
            <w:rtl w:val="0"/>
          </w:rPr>
          <w:t xml:space="preserve">34</w:t>
        </w:r>
      </w:hyperlink>
      <w:hyperlink r:id="rId28">
        <w:r w:rsidDel="00000000" w:rsidR="00000000" w:rsidRPr="00000000">
          <w:rPr>
            <w:b w:val="0"/>
            <w:i w:val="0"/>
            <w:color w:val="000000"/>
            <w:sz w:val="22"/>
            <w:szCs w:val="22"/>
            <w:u w:val="none"/>
            <w:rtl w:val="0"/>
          </w:rPr>
          <w:t xml:space="preserve">(4), 541–559.</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headerReference r:id="rId29" w:type="first"/>
      <w:pgSz w:h="15840" w:w="12240" w:orient="portrait"/>
      <w:pgMar w:bottom="873" w:top="306" w:left="1134" w:right="1134" w:header="270"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ungsuh"/>
  <w:font w:name="Play">
    <w:embedRegular w:fontKey="{00000000-0000-0000-0000-000000000000}" r:id="rId1" w:subsetted="0"/>
    <w:embedBold w:fontKey="{00000000-0000-0000-0000-000000000000}" r:id="rId2" w:subsetted="0"/>
  </w:font>
  <w:font w:name="Cardo">
    <w:embedRegular w:fontKey="{00000000-0000-0000-0000-000000000000}" r:id="rId3" w:subsetted="0"/>
    <w:embedBold w:fontKey="{00000000-0000-0000-0000-000000000000}" r:id="rId4" w:subsetted="0"/>
    <w:embedItalic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Canadian Social Determinants Urban Laboratory</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CSDUL</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4"/>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2"/>
      <w:numFmt w:val="decimal"/>
      <w:lvlText w:val="%1."/>
      <w:lvlJc w:val="left"/>
      <w:pPr>
        <w:ind w:left="360" w:hanging="360"/>
      </w:pPr>
      <w:rPr/>
    </w:lvl>
    <w:lvl w:ilvl="1">
      <w:start w:val="1"/>
      <w:numFmt w:val="decimal"/>
      <w:lvlText w:val="%1.%2."/>
      <w:lvlJc w:val="left"/>
      <w:pPr>
        <w:ind w:left="792" w:hanging="432"/>
      </w:pPr>
      <w:rPr/>
    </w:lvl>
    <w:lvl w:ilvl="2">
      <w:start w:val="1"/>
      <w:numFmt w:val="lowerLetter"/>
      <w:lvlText w:val="%3)"/>
      <w:lvlJc w:val="left"/>
      <w:pPr>
        <w:ind w:left="1080" w:hanging="360"/>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2"/>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3"/>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spacing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paperpile.com/b/0yyVSH/Ksp8" TargetMode="External"/><Relationship Id="rId22" Type="http://schemas.openxmlformats.org/officeDocument/2006/relationships/hyperlink" Target="http://paperpile.com/b/0yyVSH/Ksp8" TargetMode="External"/><Relationship Id="rId21" Type="http://schemas.openxmlformats.org/officeDocument/2006/relationships/hyperlink" Target="http://paperpile.com/b/0yyVSH/Ksp8" TargetMode="External"/><Relationship Id="rId24" Type="http://schemas.openxmlformats.org/officeDocument/2006/relationships/hyperlink" Target="http://paperpile.com/b/0yyVSH/F7mP3" TargetMode="External"/><Relationship Id="rId23" Type="http://schemas.openxmlformats.org/officeDocument/2006/relationships/hyperlink" Target="https://mdl.library.utoronto.ca/sites/default/files/mdldata/open/canada/national/statcan/postalcodes/pccfplus/2011/2015aug/82-F0086-XDB-2016v6c-eng.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0yyVSH/Ksp8" TargetMode="External"/><Relationship Id="rId26" Type="http://schemas.openxmlformats.org/officeDocument/2006/relationships/hyperlink" Target="http://paperpile.com/b/0yyVSH/F7mP3" TargetMode="External"/><Relationship Id="rId25" Type="http://schemas.openxmlformats.org/officeDocument/2006/relationships/hyperlink" Target="http://paperpile.com/b/0yyVSH/F7mP3" TargetMode="External"/><Relationship Id="rId28" Type="http://schemas.openxmlformats.org/officeDocument/2006/relationships/hyperlink" Target="http://paperpile.com/b/0yyVSH/F7mP3" TargetMode="External"/><Relationship Id="rId27" Type="http://schemas.openxmlformats.org/officeDocument/2006/relationships/hyperlink" Target="http://paperpile.com/b/0yyVSH/F7mP3" TargetMode="External"/><Relationship Id="rId5" Type="http://schemas.openxmlformats.org/officeDocument/2006/relationships/styles" Target="styles.xml"/><Relationship Id="rId6" Type="http://schemas.openxmlformats.org/officeDocument/2006/relationships/hyperlink" Target="https://docs.google.com/document/d/1t4_Bh5pRtHzd8GQ3ifJWY2zjjjch8DFf/edit" TargetMode="External"/><Relationship Id="rId29"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1.png"/><Relationship Id="rId11" Type="http://schemas.openxmlformats.org/officeDocument/2006/relationships/hyperlink" Target="https://paperpile.com/c/0yyVSH/W04Kw+F7mP3" TargetMode="External"/><Relationship Id="rId10" Type="http://schemas.openxmlformats.org/officeDocument/2006/relationships/hyperlink" Target="https://paperpile.com/c/0yyVSH/YXHR" TargetMode="External"/><Relationship Id="rId13" Type="http://schemas.openxmlformats.org/officeDocument/2006/relationships/hyperlink" Target="http://paperpile.com/b/0yyVSH/YXHR" TargetMode="External"/><Relationship Id="rId12" Type="http://schemas.openxmlformats.org/officeDocument/2006/relationships/hyperlink" Target="http://paperpile.com/b/0yyVSH/YXHR" TargetMode="External"/><Relationship Id="rId15" Type="http://schemas.openxmlformats.org/officeDocument/2006/relationships/hyperlink" Target="http://paperpile.com/b/0yyVSH/YXHR" TargetMode="External"/><Relationship Id="rId14" Type="http://schemas.openxmlformats.org/officeDocument/2006/relationships/hyperlink" Target="http://paperpile.com/b/0yyVSH/YXHR" TargetMode="External"/><Relationship Id="rId17" Type="http://schemas.openxmlformats.org/officeDocument/2006/relationships/hyperlink" Target="http://paperpile.com/b/0yyVSH/W04Kw" TargetMode="External"/><Relationship Id="rId16" Type="http://schemas.openxmlformats.org/officeDocument/2006/relationships/hyperlink" Target="http://paperpile.com/b/0yyVSH/YXHR" TargetMode="External"/><Relationship Id="rId19" Type="http://schemas.openxmlformats.org/officeDocument/2006/relationships/hyperlink" Target="http://paperpile.com/b/0yyVSH/W04Kw" TargetMode="External"/><Relationship Id="rId18" Type="http://schemas.openxmlformats.org/officeDocument/2006/relationships/hyperlink" Target="http://paperpile.com/b/0yyVSH/W04K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Cardo-regular.ttf"/><Relationship Id="rId4" Type="http://schemas.openxmlformats.org/officeDocument/2006/relationships/font" Target="fonts/Cardo-bold.ttf"/><Relationship Id="rId5"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4bbe9fac-eb09-4faa-814f-e3746f1b332c</vt:lpwstr>
  </property>
</Properties>
</file>