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Info on MBM for 2011-2015: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Base: 2008 base </w:t>
      </w:r>
    </w:p>
    <w:p w:rsidR="00000000" w:rsidDel="00000000" w:rsidP="00000000" w:rsidRDefault="00000000" w:rsidRPr="00000000" w14:paraId="00000004">
      <w:pPr>
        <w:rPr/>
      </w:pPr>
      <w:r w:rsidDel="00000000" w:rsidR="00000000" w:rsidRPr="00000000">
        <w:rPr>
          <w:rtl w:val="0"/>
        </w:rPr>
        <w:t xml:space="preserve">Dollar concept: current dollar</w:t>
      </w:r>
    </w:p>
    <w:p w:rsidR="00000000" w:rsidDel="00000000" w:rsidP="00000000" w:rsidRDefault="00000000" w:rsidRPr="00000000" w14:paraId="00000005">
      <w:pPr>
        <w:rPr>
          <w:color w:val="7834bc"/>
          <w:u w:val="single"/>
        </w:rPr>
      </w:pPr>
      <w:r w:rsidDel="00000000" w:rsidR="00000000" w:rsidRPr="00000000">
        <w:rPr>
          <w:color w:val="333333"/>
          <w:highlight w:val="white"/>
          <w:rtl w:val="0"/>
        </w:rPr>
        <w:t xml:space="preserve">Source: Statistics Canada. </w:t>
      </w:r>
      <w:hyperlink r:id="rId7">
        <w:r w:rsidDel="00000000" w:rsidR="00000000" w:rsidRPr="00000000">
          <w:rPr>
            <w:color w:val="1155cc"/>
            <w:u w:val="single"/>
            <w:rtl w:val="0"/>
          </w:rPr>
          <w:t xml:space="preserve">Table 11-10-0066-01  Market Basket Measure (MBM) thresholds for the reference family by Market Basket Measure region, component and base year</w:t>
        </w:r>
      </w:hyperlink>
      <w:r w:rsidDel="00000000" w:rsidR="00000000" w:rsidRPr="00000000">
        <w:rPr>
          <w:rtl w:val="0"/>
        </w:rPr>
      </w:r>
    </w:p>
    <w:p w:rsidR="00000000" w:rsidDel="00000000" w:rsidP="00000000" w:rsidRDefault="00000000" w:rsidRPr="00000000" w14:paraId="00000006">
      <w:pPr>
        <w:rPr>
          <w:color w:val="7834bc"/>
          <w:u w:val="single"/>
        </w:rPr>
      </w:pPr>
      <w:r w:rsidDel="00000000" w:rsidR="00000000" w:rsidRPr="00000000">
        <w:rPr>
          <w:rtl w:val="0"/>
        </w:rPr>
      </w:r>
    </w:p>
    <w:p w:rsidR="00000000" w:rsidDel="00000000" w:rsidP="00000000" w:rsidRDefault="00000000" w:rsidRPr="00000000" w14:paraId="00000007">
      <w:pPr>
        <w:rPr>
          <w:color w:val="000000"/>
          <w:u w:val="none"/>
        </w:rPr>
      </w:pPr>
      <w:r w:rsidDel="00000000" w:rsidR="00000000" w:rsidRPr="00000000">
        <w:rPr>
          <w:color w:val="000000"/>
          <w:u w:val="none"/>
          <w:rtl w:val="0"/>
        </w:rPr>
        <w:t xml:space="preserve">There’s no data for the territory for the 2011-2015 period. Since 2018, the MBM-N is used to measure the MBM in the territories. For the provinces, Yukon and the Northwest Territories, the MBM reference family consists of two adults with two children. For Nunavut, the MBM reference family consists of two adults with three children.</w:t>
      </w:r>
    </w:p>
    <w:p w:rsidR="00000000" w:rsidDel="00000000" w:rsidP="00000000" w:rsidRDefault="00000000" w:rsidRPr="00000000" w14:paraId="00000008">
      <w:pPr>
        <w:rPr>
          <w:color w:val="000000"/>
          <w:u w:val="none"/>
        </w:rPr>
      </w:pPr>
      <w:r w:rsidDel="00000000" w:rsidR="00000000" w:rsidRPr="00000000">
        <w:rPr>
          <w:rtl w:val="0"/>
        </w:rPr>
      </w:r>
    </w:p>
    <w:p w:rsidR="00000000" w:rsidDel="00000000" w:rsidP="00000000" w:rsidRDefault="00000000" w:rsidRPr="00000000" w14:paraId="00000009">
      <w:pPr>
        <w:rPr>
          <w:color w:val="000000"/>
          <w:u w:val="none"/>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City size: </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Rural areas: includes communities with a population of less than 1,000 or with a population density less than 400 persons per square kilometer that are located outside Census metropolitan areas (CMAs) or Census agglomerations (CAs). </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pPr>
      <w:r w:rsidDel="00000000" w:rsidR="00000000" w:rsidRPr="00000000">
        <w:rPr>
          <w:u w:val="single"/>
          <w:rtl w:val="0"/>
        </w:rPr>
        <w:t xml:space="preserve">Population under 30,000 :</w:t>
      </w:r>
      <w:r w:rsidDel="00000000" w:rsidR="00000000" w:rsidRPr="00000000">
        <w:rPr>
          <w:rtl w:val="0"/>
        </w:rPr>
        <w:t xml:space="preserve"> CAs below 30,000 and population centres below 10,000 persons. </w:t>
      </w:r>
      <w:r w:rsidDel="00000000" w:rsidR="00000000" w:rsidRPr="00000000">
        <w:rPr>
          <w:u w:val="single"/>
          <w:rtl w:val="0"/>
        </w:rPr>
        <w:t xml:space="preserve">Population 30,000 to 99,999 </w:t>
      </w:r>
      <w:r w:rsidDel="00000000" w:rsidR="00000000" w:rsidRPr="00000000">
        <w:rPr>
          <w:rtl w:val="0"/>
        </w:rPr>
        <w:t xml:space="preserve">: CAs between 30,000 and 99,999 persons. </w:t>
      </w:r>
    </w:p>
    <w:p w:rsidR="00000000" w:rsidDel="00000000" w:rsidP="00000000" w:rsidRDefault="00000000" w:rsidRPr="00000000" w14:paraId="00000010">
      <w:pPr>
        <w:rPr/>
      </w:pPr>
      <w:r w:rsidDel="00000000" w:rsidR="00000000" w:rsidRPr="00000000">
        <w:rPr>
          <w:u w:val="single"/>
          <w:rtl w:val="0"/>
        </w:rPr>
        <w:t xml:space="preserve">Population 100,000 to 499,999</w:t>
      </w:r>
      <w:r w:rsidDel="00000000" w:rsidR="00000000" w:rsidRPr="00000000">
        <w:rPr>
          <w:rtl w:val="0"/>
        </w:rPr>
        <w:t xml:space="preserve">: CMAs between 100,000 and 499,999. </w:t>
      </w:r>
    </w:p>
    <w:p w:rsidR="00000000" w:rsidDel="00000000" w:rsidP="00000000" w:rsidRDefault="00000000" w:rsidRPr="00000000" w14:paraId="00000011">
      <w:pPr>
        <w:rPr/>
      </w:pPr>
      <w:r w:rsidDel="00000000" w:rsidR="00000000" w:rsidRPr="00000000">
        <w:rPr>
          <w:u w:val="single"/>
          <w:rtl w:val="0"/>
        </w:rPr>
        <w:t xml:space="preserve">Population 500,000 and over</w:t>
      </w:r>
      <w:r w:rsidDel="00000000" w:rsidR="00000000" w:rsidRPr="00000000">
        <w:rPr>
          <w:rtl w:val="0"/>
        </w:rPr>
        <w:t xml:space="preserve">: CMAs with 500,000 or more persons. </w:t>
      </w:r>
    </w:p>
    <w:p w:rsidR="00000000" w:rsidDel="00000000" w:rsidP="00000000" w:rsidRDefault="00000000" w:rsidRPr="00000000" w14:paraId="00000012">
      <w:pPr>
        <w:rPr/>
      </w:pPr>
      <w:r w:rsidDel="00000000" w:rsidR="00000000" w:rsidRPr="00000000">
        <w:rPr>
          <w:rtl w:val="0"/>
        </w:rPr>
        <w:t xml:space="preserve">Specific city name refers to the population within the CMA or CA.</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jc w:val="both"/>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before="40" w:lineRule="auto"/>
      <w:jc w:val="both"/>
    </w:pPr>
    <w:rPr>
      <w:rFonts w:ascii="Times New Roman" w:cs="Times New Roman" w:eastAsia="Times New Roman" w:hAnsi="Times New Roman"/>
      <w:b w:val="1"/>
      <w:bCs w:val="1"/>
      <w:color w:val="00000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150.statcan.gc.ca/t1/tbl1/en/cv.action?pid=11100066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VmjrhIG4gnqaSiRCAUDbW/RDBA==">CgMxLjA4AHIhMTMyU0lYTlhfZmF4Tm1zNlE1c0NjdjBGVkRfTzQyRXkw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