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532A7" w14:textId="77777777" w:rsidR="00AC0BED" w:rsidRDefault="00BB0FD5">
      <w:pPr>
        <w:jc w:val="center"/>
        <w:rPr>
          <w:i/>
          <w:sz w:val="24"/>
          <w:szCs w:val="24"/>
          <w:u w:val="single"/>
        </w:rPr>
      </w:pPr>
      <w:r>
        <w:rPr>
          <w:b/>
          <w:color w:val="000000"/>
          <w:sz w:val="24"/>
          <w:szCs w:val="24"/>
          <w:u w:val="single"/>
        </w:rPr>
        <w:t>Preliminary Form to Add Social Determinants to CSDUL</w:t>
      </w:r>
    </w:p>
    <w:p w14:paraId="49451D50" w14:textId="77777777" w:rsidR="00AC0BED" w:rsidRDefault="00BB0FD5">
      <w:pPr>
        <w:spacing w:before="240"/>
        <w:jc w:val="right"/>
        <w:rPr>
          <w:b/>
          <w:sz w:val="24"/>
          <w:szCs w:val="24"/>
        </w:rPr>
      </w:pPr>
      <w:bookmarkStart w:id="0" w:name="bookmark=id.gjdgxs" w:colFirst="0" w:colLast="0"/>
      <w:bookmarkEnd w:id="0"/>
      <w:r>
        <w:rPr>
          <w:b/>
          <w:sz w:val="24"/>
          <w:szCs w:val="24"/>
        </w:rPr>
        <w:t xml:space="preserve">Request date (2025-07-13): </w:t>
      </w:r>
    </w:p>
    <w:p w14:paraId="7B826E96" w14:textId="77777777" w:rsidR="00AC0BED" w:rsidRDefault="00AC0BED">
      <w:pPr>
        <w:spacing w:before="240"/>
        <w:jc w:val="right"/>
        <w:rPr>
          <w:b/>
          <w:sz w:val="24"/>
          <w:szCs w:val="24"/>
          <w:u w:val="single"/>
        </w:rPr>
      </w:pPr>
    </w:p>
    <w:tbl>
      <w:tblPr>
        <w:tblStyle w:val="a3"/>
        <w:tblW w:w="10246"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53"/>
        <w:gridCol w:w="5793"/>
      </w:tblGrid>
      <w:tr w:rsidR="00AC0BED" w14:paraId="726C4364" w14:textId="77777777">
        <w:trPr>
          <w:trHeight w:val="809"/>
        </w:trPr>
        <w:tc>
          <w:tcPr>
            <w:tcW w:w="4453" w:type="dxa"/>
            <w:vAlign w:val="center"/>
          </w:tcPr>
          <w:p w14:paraId="55D9593E" w14:textId="77777777" w:rsidR="00AC0BED" w:rsidRDefault="00BB0FD5">
            <w:pPr>
              <w:spacing w:before="40"/>
              <w:rPr>
                <w:color w:val="000000"/>
                <w:sz w:val="24"/>
                <w:szCs w:val="24"/>
              </w:rPr>
            </w:pPr>
            <w:r>
              <w:rPr>
                <w:b/>
                <w:color w:val="000000"/>
                <w:sz w:val="24"/>
                <w:szCs w:val="24"/>
              </w:rPr>
              <w:t>Researcher (name and affiliation):</w:t>
            </w:r>
          </w:p>
        </w:tc>
        <w:tc>
          <w:tcPr>
            <w:tcW w:w="5793" w:type="dxa"/>
            <w:vAlign w:val="center"/>
          </w:tcPr>
          <w:p w14:paraId="0E4176F8" w14:textId="77777777" w:rsidR="00AC0BED" w:rsidRDefault="00BB0FD5">
            <w:pPr>
              <w:spacing w:before="40"/>
              <w:rPr>
                <w:sz w:val="24"/>
                <w:szCs w:val="24"/>
              </w:rPr>
            </w:pPr>
            <w:r>
              <w:rPr>
                <w:sz w:val="24"/>
                <w:szCs w:val="24"/>
              </w:rPr>
              <w:t>Sean Leipe, McMaster University</w:t>
            </w:r>
          </w:p>
          <w:p w14:paraId="007DBA9A" w14:textId="77777777" w:rsidR="00AC0BED" w:rsidRDefault="00BB0FD5">
            <w:pPr>
              <w:spacing w:before="40"/>
              <w:rPr>
                <w:sz w:val="24"/>
                <w:szCs w:val="24"/>
              </w:rPr>
            </w:pPr>
            <w:r>
              <w:rPr>
                <w:sz w:val="24"/>
                <w:szCs w:val="24"/>
              </w:rPr>
              <w:t>Jackie Villanueva, McMaster University</w:t>
            </w:r>
          </w:p>
        </w:tc>
      </w:tr>
      <w:tr w:rsidR="00AC0BED" w:rsidRPr="001143B8" w14:paraId="3441EB2E" w14:textId="77777777">
        <w:trPr>
          <w:trHeight w:val="269"/>
        </w:trPr>
        <w:tc>
          <w:tcPr>
            <w:tcW w:w="4453" w:type="dxa"/>
            <w:vAlign w:val="center"/>
          </w:tcPr>
          <w:p w14:paraId="3E623BEE" w14:textId="77777777" w:rsidR="00AC0BED" w:rsidRPr="001143B8" w:rsidRDefault="00BB0FD5">
            <w:pPr>
              <w:spacing w:before="40"/>
              <w:rPr>
                <w:color w:val="000000"/>
                <w:sz w:val="22"/>
                <w:szCs w:val="22"/>
              </w:rPr>
            </w:pPr>
            <w:r w:rsidRPr="001143B8">
              <w:rPr>
                <w:b/>
                <w:color w:val="000000"/>
                <w:sz w:val="24"/>
                <w:szCs w:val="24"/>
              </w:rPr>
              <w:t>Node Lead (name and affiliation):</w:t>
            </w:r>
          </w:p>
        </w:tc>
        <w:tc>
          <w:tcPr>
            <w:tcW w:w="5793" w:type="dxa"/>
            <w:vAlign w:val="center"/>
          </w:tcPr>
          <w:p w14:paraId="59A1EE5A" w14:textId="77777777" w:rsidR="00AC0BED" w:rsidRPr="001143B8" w:rsidRDefault="00BB0FD5">
            <w:pPr>
              <w:spacing w:before="40"/>
              <w:rPr>
                <w:color w:val="000000"/>
                <w:sz w:val="22"/>
                <w:szCs w:val="22"/>
              </w:rPr>
            </w:pPr>
            <w:r w:rsidRPr="001143B8">
              <w:rPr>
                <w:sz w:val="22"/>
                <w:szCs w:val="22"/>
              </w:rPr>
              <w:t>Marisa Young, McMaster University</w:t>
            </w:r>
          </w:p>
        </w:tc>
      </w:tr>
      <w:tr w:rsidR="00AC0BED" w:rsidRPr="001143B8" w14:paraId="09186536" w14:textId="77777777">
        <w:trPr>
          <w:trHeight w:val="455"/>
        </w:trPr>
        <w:tc>
          <w:tcPr>
            <w:tcW w:w="4453" w:type="dxa"/>
            <w:vAlign w:val="center"/>
          </w:tcPr>
          <w:p w14:paraId="5FE8208C" w14:textId="77777777" w:rsidR="00AC0BED" w:rsidRPr="001143B8" w:rsidRDefault="00BB0FD5">
            <w:pPr>
              <w:spacing w:before="40"/>
              <w:rPr>
                <w:color w:val="000000"/>
                <w:sz w:val="22"/>
                <w:szCs w:val="22"/>
              </w:rPr>
            </w:pPr>
            <w:r w:rsidRPr="001143B8">
              <w:rPr>
                <w:b/>
                <w:color w:val="000000"/>
                <w:sz w:val="24"/>
                <w:szCs w:val="24"/>
              </w:rPr>
              <w:t>Indicator</w:t>
            </w:r>
            <w:r w:rsidRPr="001143B8">
              <w:rPr>
                <w:b/>
                <w:sz w:val="24"/>
                <w:szCs w:val="24"/>
              </w:rPr>
              <w:t xml:space="preserve"> or </w:t>
            </w:r>
            <w:r w:rsidRPr="001143B8">
              <w:rPr>
                <w:b/>
                <w:color w:val="000000"/>
                <w:sz w:val="24"/>
                <w:szCs w:val="24"/>
              </w:rPr>
              <w:t>Model Name:</w:t>
            </w:r>
            <w:r w:rsidRPr="001143B8">
              <w:rPr>
                <w:b/>
                <w:color w:val="000000"/>
                <w:sz w:val="24"/>
                <w:szCs w:val="24"/>
              </w:rPr>
              <w:tab/>
            </w:r>
          </w:p>
        </w:tc>
        <w:tc>
          <w:tcPr>
            <w:tcW w:w="5793" w:type="dxa"/>
            <w:vAlign w:val="center"/>
          </w:tcPr>
          <w:p w14:paraId="673576B8" w14:textId="77777777" w:rsidR="00AC0BED" w:rsidRPr="001143B8" w:rsidRDefault="00BB0FD5">
            <w:pPr>
              <w:spacing w:before="40"/>
              <w:rPr>
                <w:color w:val="000000"/>
                <w:sz w:val="22"/>
                <w:szCs w:val="22"/>
              </w:rPr>
            </w:pPr>
            <w:r w:rsidRPr="001143B8">
              <w:rPr>
                <w:sz w:val="22"/>
                <w:szCs w:val="22"/>
              </w:rPr>
              <w:t>Family, Recreation, &amp; Safety Resources (FRSR)</w:t>
            </w:r>
          </w:p>
        </w:tc>
      </w:tr>
    </w:tbl>
    <w:p w14:paraId="07EF7F78" w14:textId="77777777" w:rsidR="00AC0BED" w:rsidRPr="001143B8" w:rsidRDefault="00AC0BED">
      <w:pPr>
        <w:jc w:val="center"/>
        <w:rPr>
          <w:b/>
          <w:color w:val="000000"/>
          <w:sz w:val="24"/>
          <w:szCs w:val="24"/>
          <w:u w:val="single"/>
        </w:rPr>
      </w:pPr>
    </w:p>
    <w:p w14:paraId="09F9D093" w14:textId="77777777" w:rsidR="00AC0BED" w:rsidRPr="001143B8" w:rsidRDefault="00BB0FD5">
      <w:pPr>
        <w:spacing w:before="240" w:after="240"/>
        <w:rPr>
          <w:b/>
          <w:sz w:val="24"/>
          <w:szCs w:val="24"/>
        </w:rPr>
      </w:pPr>
      <w:r w:rsidRPr="001143B8">
        <w:rPr>
          <w:b/>
          <w:sz w:val="24"/>
          <w:szCs w:val="24"/>
        </w:rPr>
        <w:t>Purpose of the document</w:t>
      </w:r>
    </w:p>
    <w:p w14:paraId="4FC350CC" w14:textId="77777777" w:rsidR="00AC0BED" w:rsidRPr="001143B8" w:rsidRDefault="00BB0FD5">
      <w:pPr>
        <w:spacing w:before="240" w:after="240"/>
        <w:rPr>
          <w:sz w:val="24"/>
          <w:szCs w:val="24"/>
        </w:rPr>
      </w:pPr>
      <w:r w:rsidRPr="001143B8">
        <w:rPr>
          <w:sz w:val="24"/>
          <w:szCs w:val="24"/>
        </w:rPr>
        <w:t xml:space="preserve">This document includes several questions that must be answered by the researcher interested in adding indicators or models into CSDUL. These questions pretend to briefly explain the mathematical and theoretical framework of the indicator or model being incorporated. The researcher must be able to fill out every question clearly and concisely, supporting their explanation with respectable academic sources. </w:t>
      </w:r>
    </w:p>
    <w:p w14:paraId="12FF8132" w14:textId="77777777" w:rsidR="00AC0BED" w:rsidRPr="001143B8" w:rsidRDefault="00BB0FD5">
      <w:pPr>
        <w:spacing w:before="240" w:after="240"/>
        <w:rPr>
          <w:b/>
          <w:sz w:val="24"/>
          <w:szCs w:val="24"/>
          <w:u w:val="single"/>
        </w:rPr>
      </w:pPr>
      <w:r w:rsidRPr="001143B8">
        <w:rPr>
          <w:sz w:val="24"/>
          <w:szCs w:val="24"/>
        </w:rPr>
        <w:t xml:space="preserve">The document will be added to the model or indicator documentation in CSDUL-OUT and CSDUL-RDC. It must serve as a quick and straightforward introduction to the indicator or model for anyone interested and give relevant references to guide the learning process to other researchers. </w:t>
      </w:r>
    </w:p>
    <w:p w14:paraId="6F0C21E5" w14:textId="77777777" w:rsidR="00AC0BED" w:rsidRPr="001143B8" w:rsidRDefault="00BB0FD5">
      <w:pPr>
        <w:rPr>
          <w:b/>
          <w:color w:val="C00000"/>
          <w:sz w:val="24"/>
          <w:szCs w:val="24"/>
        </w:rPr>
      </w:pPr>
      <w:r w:rsidRPr="001143B8">
        <w:rPr>
          <w:b/>
          <w:color w:val="C00000"/>
          <w:sz w:val="24"/>
          <w:szCs w:val="24"/>
        </w:rPr>
        <w:t>To be completed by the responsible analyst.</w:t>
      </w:r>
    </w:p>
    <w:p w14:paraId="3F7D3A03" w14:textId="77777777" w:rsidR="00AC0BED" w:rsidRPr="001143B8" w:rsidRDefault="00BB0FD5">
      <w:pPr>
        <w:rPr>
          <w:b/>
          <w:color w:val="C00000"/>
          <w:sz w:val="24"/>
          <w:szCs w:val="24"/>
        </w:rPr>
      </w:pPr>
      <w:r w:rsidRPr="001143B8">
        <w:rPr>
          <w:b/>
          <w:color w:val="C00000"/>
          <w:sz w:val="24"/>
          <w:szCs w:val="24"/>
        </w:rPr>
        <w:t>If there are questions that cannot be answered because of the nature of the indicator/model, write N/A.</w:t>
      </w:r>
    </w:p>
    <w:p w14:paraId="42276D9D" w14:textId="77777777" w:rsidR="00AC0BED" w:rsidRPr="001143B8" w:rsidRDefault="00BB0FD5">
      <w:pPr>
        <w:rPr>
          <w:b/>
          <w:color w:val="C00000"/>
          <w:sz w:val="24"/>
          <w:szCs w:val="24"/>
        </w:rPr>
      </w:pPr>
      <w:r w:rsidRPr="001143B8">
        <w:rPr>
          <w:b/>
          <w:color w:val="C00000"/>
          <w:sz w:val="24"/>
          <w:szCs w:val="24"/>
        </w:rPr>
        <w:t xml:space="preserve">You can support your completion using the example document located in this link: </w:t>
      </w:r>
      <w:hyperlink r:id="rId9">
        <w:r w:rsidRPr="001143B8">
          <w:rPr>
            <w:b/>
            <w:color w:val="1155CC"/>
            <w:sz w:val="24"/>
            <w:szCs w:val="24"/>
            <w:u w:val="single"/>
          </w:rPr>
          <w:t>Documents - Add inputs to CSDUL - 02 - Example.docx - Google Docs</w:t>
        </w:r>
      </w:hyperlink>
    </w:p>
    <w:p w14:paraId="7DA508C8" w14:textId="77777777" w:rsidR="00AC0BED" w:rsidRPr="001143B8" w:rsidRDefault="00AC0BED">
      <w:pPr>
        <w:rPr>
          <w:b/>
          <w:color w:val="C00000"/>
          <w:sz w:val="24"/>
          <w:szCs w:val="24"/>
        </w:rPr>
      </w:pPr>
    </w:p>
    <w:p w14:paraId="3F4EDE50" w14:textId="77777777" w:rsidR="00AC0BED" w:rsidRPr="001143B8" w:rsidRDefault="00AC0BED">
      <w:pPr>
        <w:pBdr>
          <w:top w:val="nil"/>
          <w:left w:val="nil"/>
          <w:bottom w:val="nil"/>
          <w:right w:val="nil"/>
          <w:between w:val="nil"/>
        </w:pBdr>
        <w:rPr>
          <w:b/>
          <w:color w:val="000000"/>
          <w:sz w:val="24"/>
          <w:szCs w:val="24"/>
        </w:rPr>
      </w:pPr>
    </w:p>
    <w:p w14:paraId="4FB36E11" w14:textId="77777777" w:rsidR="00AC0BED" w:rsidRDefault="00BB0FD5">
      <w:pPr>
        <w:numPr>
          <w:ilvl w:val="0"/>
          <w:numId w:val="6"/>
        </w:numPr>
        <w:pBdr>
          <w:top w:val="nil"/>
          <w:left w:val="nil"/>
          <w:bottom w:val="nil"/>
          <w:right w:val="nil"/>
          <w:between w:val="nil"/>
        </w:pBdr>
        <w:spacing w:after="120"/>
        <w:rPr>
          <w:b/>
          <w:color w:val="000000"/>
          <w:sz w:val="24"/>
          <w:szCs w:val="24"/>
        </w:rPr>
      </w:pPr>
      <w:r w:rsidRPr="001143B8">
        <w:rPr>
          <w:b/>
          <w:color w:val="000000"/>
          <w:sz w:val="24"/>
          <w:szCs w:val="24"/>
        </w:rPr>
        <w:t>Will you share the inputs through CSDUL-RDC, CSDUL-OUT, or both?</w:t>
      </w:r>
      <w:r w:rsidRPr="001143B8">
        <w:rPr>
          <w:b/>
          <w:color w:val="000000"/>
          <w:sz w:val="24"/>
          <w:szCs w:val="24"/>
        </w:rPr>
        <w:tab/>
        <w:t>CSDUL-OUT</w:t>
      </w:r>
    </w:p>
    <w:p w14:paraId="31925533" w14:textId="77777777" w:rsidR="00AC0BED" w:rsidRDefault="00BB0FD5">
      <w:pPr>
        <w:rPr>
          <w:b/>
          <w:color w:val="000000"/>
          <w:sz w:val="24"/>
          <w:szCs w:val="24"/>
        </w:rPr>
      </w:pPr>
      <w:r>
        <w:rPr>
          <w:b/>
          <w:color w:val="000000"/>
          <w:sz w:val="24"/>
          <w:szCs w:val="24"/>
        </w:rPr>
        <w:t xml:space="preserve">   </w:t>
      </w:r>
    </w:p>
    <w:p w14:paraId="55DB42E5" w14:textId="77777777" w:rsidR="00AC0BED" w:rsidRDefault="00BB0FD5">
      <w:pPr>
        <w:numPr>
          <w:ilvl w:val="0"/>
          <w:numId w:val="4"/>
        </w:numPr>
        <w:rPr>
          <w:b/>
          <w:sz w:val="24"/>
          <w:szCs w:val="24"/>
        </w:rPr>
      </w:pPr>
      <w:r>
        <w:rPr>
          <w:b/>
          <w:sz w:val="24"/>
          <w:szCs w:val="24"/>
        </w:rPr>
        <w:t xml:space="preserve">Explanation of the indicator/model. </w:t>
      </w:r>
    </w:p>
    <w:p w14:paraId="57A21BF7" w14:textId="77777777" w:rsidR="00AC0BED" w:rsidRDefault="00BB0FD5">
      <w:pPr>
        <w:numPr>
          <w:ilvl w:val="1"/>
          <w:numId w:val="4"/>
        </w:numPr>
        <w:pBdr>
          <w:top w:val="nil"/>
          <w:left w:val="nil"/>
          <w:bottom w:val="nil"/>
          <w:right w:val="nil"/>
          <w:between w:val="nil"/>
        </w:pBdr>
        <w:spacing w:line="259" w:lineRule="auto"/>
        <w:rPr>
          <w:b/>
          <w:color w:val="000000"/>
          <w:sz w:val="24"/>
          <w:szCs w:val="24"/>
        </w:rPr>
      </w:pPr>
      <w:r>
        <w:rPr>
          <w:b/>
          <w:color w:val="000000"/>
          <w:sz w:val="24"/>
          <w:szCs w:val="24"/>
        </w:rPr>
        <w:t>In simple words, explain what the indicator/model to be added consists of.</w:t>
      </w:r>
    </w:p>
    <w:p w14:paraId="0117A53B" w14:textId="62990135" w:rsidR="00AC0BED" w:rsidRDefault="00BB0FD5">
      <w:pPr>
        <w:pBdr>
          <w:top w:val="nil"/>
          <w:left w:val="nil"/>
          <w:bottom w:val="nil"/>
          <w:right w:val="nil"/>
          <w:between w:val="nil"/>
        </w:pBdr>
        <w:spacing w:line="259" w:lineRule="auto"/>
        <w:ind w:left="792"/>
        <w:rPr>
          <w:sz w:val="24"/>
          <w:szCs w:val="24"/>
        </w:rPr>
      </w:pPr>
      <w:r>
        <w:rPr>
          <w:sz w:val="24"/>
          <w:szCs w:val="24"/>
        </w:rPr>
        <w:t xml:space="preserve">The indicators for Family, Recreation &amp; Safety Resources (FRSR) represent community amenities and resources that support families and safety. </w:t>
      </w:r>
      <w:r>
        <w:rPr>
          <w:i/>
          <w:sz w:val="24"/>
          <w:szCs w:val="24"/>
        </w:rPr>
        <w:t>Education resources</w:t>
      </w:r>
      <w:r>
        <w:rPr>
          <w:sz w:val="24"/>
          <w:szCs w:val="24"/>
        </w:rPr>
        <w:t xml:space="preserve"> include institutions like schools, colleges, and universities, which are identified using codes specific to educational facilities. </w:t>
      </w:r>
      <w:r>
        <w:rPr>
          <w:i/>
          <w:sz w:val="24"/>
          <w:szCs w:val="24"/>
        </w:rPr>
        <w:t>Food stores</w:t>
      </w:r>
      <w:r>
        <w:rPr>
          <w:sz w:val="24"/>
          <w:szCs w:val="24"/>
        </w:rPr>
        <w:t xml:space="preserve"> cover various food distribution locations, such as grocery stores and food depots, where residents can purchase food.</w:t>
      </w:r>
      <w:r>
        <w:rPr>
          <w:i/>
          <w:sz w:val="24"/>
          <w:szCs w:val="24"/>
        </w:rPr>
        <w:t xml:space="preserve"> Recreation and Entertainment </w:t>
      </w:r>
      <w:r>
        <w:rPr>
          <w:sz w:val="24"/>
          <w:szCs w:val="24"/>
        </w:rPr>
        <w:t xml:space="preserve">represent places for sports, entertainment, and outdoor activities, such as parks, swimming pools, and amusement parks. </w:t>
      </w:r>
      <w:r>
        <w:rPr>
          <w:i/>
          <w:sz w:val="24"/>
          <w:szCs w:val="24"/>
        </w:rPr>
        <w:t>Police and Security Services</w:t>
      </w:r>
      <w:r>
        <w:rPr>
          <w:sz w:val="24"/>
          <w:szCs w:val="24"/>
        </w:rPr>
        <w:t xml:space="preserve"> include locations providing police and security support, such as police stations, while </w:t>
      </w:r>
      <w:r>
        <w:rPr>
          <w:i/>
          <w:sz w:val="24"/>
          <w:szCs w:val="24"/>
        </w:rPr>
        <w:t xml:space="preserve">Fire Protection Services </w:t>
      </w:r>
      <w:r>
        <w:rPr>
          <w:sz w:val="24"/>
          <w:szCs w:val="24"/>
        </w:rPr>
        <w:t>encompass facilities like fire stations that offer fire-related emergency assistance. These indicators collectively capture key resources and amenities that contribute to family well-being, community support and safety</w:t>
      </w:r>
      <w:r w:rsidR="00802364">
        <w:rPr>
          <w:sz w:val="24"/>
          <w:szCs w:val="24"/>
        </w:rPr>
        <w:t>.</w:t>
      </w:r>
      <w:r w:rsidR="001443B3">
        <w:rPr>
          <w:sz w:val="24"/>
          <w:szCs w:val="24"/>
        </w:rPr>
        <w:t xml:space="preserve"> These data come from </w:t>
      </w:r>
      <w:r w:rsidR="00DA70FB">
        <w:rPr>
          <w:sz w:val="24"/>
          <w:szCs w:val="24"/>
        </w:rPr>
        <w:t xml:space="preserve">the </w:t>
      </w:r>
      <w:r w:rsidR="001443B3">
        <w:rPr>
          <w:sz w:val="24"/>
          <w:szCs w:val="24"/>
        </w:rPr>
        <w:t>D</w:t>
      </w:r>
      <w:r w:rsidR="00DA70FB">
        <w:rPr>
          <w:sz w:val="24"/>
          <w:szCs w:val="24"/>
        </w:rPr>
        <w:t>igital Map Technologies Inc.</w:t>
      </w:r>
      <w:r w:rsidR="00154D90">
        <w:rPr>
          <w:sz w:val="24"/>
          <w:szCs w:val="24"/>
        </w:rPr>
        <w:t xml:space="preserve"> (DMTI)</w:t>
      </w:r>
      <w:r w:rsidR="00DA70FB">
        <w:rPr>
          <w:sz w:val="24"/>
          <w:szCs w:val="24"/>
        </w:rPr>
        <w:t xml:space="preserve">, which is a Canadian company </w:t>
      </w:r>
      <w:r w:rsidR="00DA70FB" w:rsidRPr="00DA70FB">
        <w:rPr>
          <w:sz w:val="24"/>
          <w:szCs w:val="24"/>
        </w:rPr>
        <w:t xml:space="preserve">specializing in geospatial data and mapping solutions. </w:t>
      </w:r>
      <w:r w:rsidR="00DA70FB" w:rsidRPr="00DA70FB">
        <w:rPr>
          <w:sz w:val="24"/>
          <w:szCs w:val="24"/>
        </w:rPr>
        <w:lastRenderedPageBreak/>
        <w:t>It provides high-precision location-based datasets widely used in business, government, and academic research.</w:t>
      </w:r>
      <w:r w:rsidR="00154D90">
        <w:rPr>
          <w:sz w:val="24"/>
          <w:szCs w:val="24"/>
        </w:rPr>
        <w:t xml:space="preserve"> </w:t>
      </w:r>
      <w:r w:rsidR="00154D90" w:rsidRPr="00154D90">
        <w:rPr>
          <w:sz w:val="24"/>
          <w:szCs w:val="24"/>
        </w:rPr>
        <w:t>The raw data are accessible to any researcher at a university that holds a</w:t>
      </w:r>
      <w:r w:rsidR="00154D90">
        <w:rPr>
          <w:sz w:val="24"/>
          <w:szCs w:val="24"/>
        </w:rPr>
        <w:t xml:space="preserve"> Scholars</w:t>
      </w:r>
      <w:r w:rsidR="00154D90" w:rsidRPr="00154D90">
        <w:rPr>
          <w:sz w:val="24"/>
          <w:szCs w:val="24"/>
        </w:rPr>
        <w:t xml:space="preserve"> </w:t>
      </w:r>
      <w:proofErr w:type="spellStart"/>
      <w:r w:rsidR="00154D90" w:rsidRPr="00154D90">
        <w:rPr>
          <w:sz w:val="24"/>
          <w:szCs w:val="24"/>
        </w:rPr>
        <w:t>GeoPortal</w:t>
      </w:r>
      <w:proofErr w:type="spellEnd"/>
      <w:r w:rsidR="00154D90" w:rsidRPr="00154D90">
        <w:rPr>
          <w:sz w:val="24"/>
          <w:szCs w:val="24"/>
        </w:rPr>
        <w:t xml:space="preserve"> license.</w:t>
      </w:r>
    </w:p>
    <w:p w14:paraId="032A7B64" w14:textId="77777777" w:rsidR="00AC0BED" w:rsidRDefault="00AC0BED">
      <w:pPr>
        <w:pBdr>
          <w:top w:val="nil"/>
          <w:left w:val="nil"/>
          <w:bottom w:val="nil"/>
          <w:right w:val="nil"/>
          <w:between w:val="nil"/>
        </w:pBdr>
        <w:spacing w:line="259" w:lineRule="auto"/>
        <w:ind w:left="792"/>
        <w:rPr>
          <w:b/>
          <w:color w:val="000000"/>
          <w:sz w:val="24"/>
          <w:szCs w:val="24"/>
        </w:rPr>
      </w:pPr>
    </w:p>
    <w:p w14:paraId="0FCC4C3A" w14:textId="77777777" w:rsidR="00AC0BED" w:rsidRDefault="00BB0FD5">
      <w:pPr>
        <w:numPr>
          <w:ilvl w:val="1"/>
          <w:numId w:val="4"/>
        </w:numPr>
        <w:pBdr>
          <w:top w:val="nil"/>
          <w:left w:val="nil"/>
          <w:bottom w:val="nil"/>
          <w:right w:val="nil"/>
          <w:between w:val="nil"/>
        </w:pBdr>
        <w:spacing w:line="259" w:lineRule="auto"/>
        <w:rPr>
          <w:b/>
          <w:color w:val="000000"/>
          <w:sz w:val="24"/>
          <w:szCs w:val="24"/>
        </w:rPr>
      </w:pPr>
      <w:r>
        <w:rPr>
          <w:b/>
          <w:color w:val="000000"/>
          <w:sz w:val="24"/>
          <w:szCs w:val="24"/>
        </w:rPr>
        <w:t>Are there assumptions associated with the indicator/model? If there are, please briefly describe them.</w:t>
      </w:r>
    </w:p>
    <w:p w14:paraId="2B950215" w14:textId="66BDEB33" w:rsidR="00AC0BED" w:rsidRDefault="00BB0FD5">
      <w:pPr>
        <w:spacing w:line="259" w:lineRule="auto"/>
        <w:ind w:left="792"/>
        <w:rPr>
          <w:sz w:val="24"/>
          <w:szCs w:val="24"/>
        </w:rPr>
      </w:pPr>
      <w:r>
        <w:rPr>
          <w:sz w:val="24"/>
          <w:szCs w:val="24"/>
        </w:rPr>
        <w:t>Yes, the indicators associated with the FRSR do involve several assumptions:</w:t>
      </w:r>
    </w:p>
    <w:p w14:paraId="0E7DA2E1" w14:textId="77777777" w:rsidR="00AC0BED" w:rsidRDefault="00AC0BED">
      <w:pPr>
        <w:spacing w:line="259" w:lineRule="auto"/>
        <w:ind w:left="792"/>
        <w:rPr>
          <w:sz w:val="24"/>
          <w:szCs w:val="24"/>
        </w:rPr>
      </w:pPr>
    </w:p>
    <w:p w14:paraId="04DE5943" w14:textId="77777777" w:rsidR="00AC0BED" w:rsidRDefault="00BB0FD5">
      <w:pPr>
        <w:spacing w:line="259" w:lineRule="auto"/>
        <w:ind w:left="792"/>
        <w:rPr>
          <w:sz w:val="24"/>
          <w:szCs w:val="24"/>
        </w:rPr>
      </w:pPr>
      <w:r>
        <w:rPr>
          <w:i/>
          <w:sz w:val="24"/>
          <w:szCs w:val="24"/>
        </w:rPr>
        <w:t xml:space="preserve">Proximity and Accessibility: </w:t>
      </w:r>
      <w:r>
        <w:rPr>
          <w:sz w:val="24"/>
          <w:szCs w:val="24"/>
        </w:rPr>
        <w:t>A key assumption is that the presence of these resources within a certain geographic area (e.g., census divisions) means they are accessible to residents. This assumes that closer proximity directly translates to access and usability for families, which may not account for individual mobility limitations or other barriers.</w:t>
      </w:r>
    </w:p>
    <w:p w14:paraId="61130E0E" w14:textId="77777777" w:rsidR="00AC0BED" w:rsidRDefault="00AC0BED">
      <w:pPr>
        <w:spacing w:line="259" w:lineRule="auto"/>
        <w:ind w:left="792"/>
        <w:rPr>
          <w:sz w:val="24"/>
          <w:szCs w:val="24"/>
        </w:rPr>
      </w:pPr>
    </w:p>
    <w:p w14:paraId="5337E28E" w14:textId="5E23336A" w:rsidR="00802364" w:rsidRPr="00802364" w:rsidRDefault="00BB0FD5" w:rsidP="00802364">
      <w:pPr>
        <w:spacing w:line="259" w:lineRule="auto"/>
        <w:ind w:left="792"/>
        <w:rPr>
          <w:sz w:val="24"/>
          <w:szCs w:val="24"/>
        </w:rPr>
      </w:pPr>
      <w:r>
        <w:rPr>
          <w:i/>
          <w:sz w:val="24"/>
          <w:szCs w:val="24"/>
        </w:rPr>
        <w:t>Classification</w:t>
      </w:r>
      <w:r w:rsidR="00200E61">
        <w:rPr>
          <w:i/>
          <w:sz w:val="24"/>
          <w:szCs w:val="24"/>
        </w:rPr>
        <w:t>, Comparison,</w:t>
      </w:r>
      <w:r>
        <w:rPr>
          <w:i/>
          <w:sz w:val="24"/>
          <w:szCs w:val="24"/>
        </w:rPr>
        <w:t xml:space="preserve"> and Accuracy: </w:t>
      </w:r>
      <w:r>
        <w:rPr>
          <w:sz w:val="24"/>
          <w:szCs w:val="24"/>
        </w:rPr>
        <w:t>The FRSR indicators are based on Standard Industrial Classification (SIC) codes to categorize resources, assuming these codes are consistently accurate in representing each resource type.</w:t>
      </w:r>
      <w:r w:rsidR="00802364">
        <w:rPr>
          <w:sz w:val="24"/>
          <w:szCs w:val="24"/>
        </w:rPr>
        <w:t xml:space="preserve"> SIC codes</w:t>
      </w:r>
      <w:r w:rsidR="00802364" w:rsidRPr="00802364">
        <w:rPr>
          <w:sz w:val="24"/>
          <w:szCs w:val="24"/>
        </w:rPr>
        <w:t xml:space="preserve"> are a system for categorizing establishments based on their primary economic activity, historically used for economic censuses, business directories, and resource mapping, and still common in datasets </w:t>
      </w:r>
      <w:r w:rsidR="001443B3">
        <w:rPr>
          <w:sz w:val="24"/>
          <w:szCs w:val="24"/>
        </w:rPr>
        <w:t>like those used here</w:t>
      </w:r>
      <w:r w:rsidR="00802364" w:rsidRPr="00802364">
        <w:rPr>
          <w:sz w:val="24"/>
          <w:szCs w:val="24"/>
        </w:rPr>
        <w:t>. They provide a standardized way to identify and group organizations such as schools, grocery stores, or clinics.</w:t>
      </w:r>
    </w:p>
    <w:p w14:paraId="21FB41B9" w14:textId="77777777" w:rsidR="00802364" w:rsidRPr="00802364" w:rsidRDefault="00802364" w:rsidP="00802364">
      <w:pPr>
        <w:spacing w:line="259" w:lineRule="auto"/>
        <w:ind w:left="792"/>
        <w:rPr>
          <w:sz w:val="24"/>
          <w:szCs w:val="24"/>
        </w:rPr>
      </w:pPr>
    </w:p>
    <w:p w14:paraId="1E7FEF00" w14:textId="0C5A36AB" w:rsidR="00200E61" w:rsidRDefault="00802364" w:rsidP="00802364">
      <w:pPr>
        <w:spacing w:line="259" w:lineRule="auto"/>
        <w:ind w:left="792"/>
        <w:rPr>
          <w:sz w:val="24"/>
          <w:szCs w:val="24"/>
        </w:rPr>
      </w:pPr>
      <w:r>
        <w:rPr>
          <w:sz w:val="24"/>
          <w:szCs w:val="24"/>
        </w:rPr>
        <w:t xml:space="preserve">SIC codes vary compared to other forms of classification. For example, </w:t>
      </w:r>
      <w:r w:rsidRPr="00802364">
        <w:rPr>
          <w:sz w:val="24"/>
          <w:szCs w:val="24"/>
        </w:rPr>
        <w:t>the Canadian Classification of Functions of Government (CCOFOG) organizes government expenditures by their purpose (e.g., education, health, housing) rather than by the type of establishment. While SIC focuses on industries and producers, CCOFOG focuses on how public funds are allocated across functional areas of government activity.</w:t>
      </w:r>
      <w:r w:rsidR="00BC27DD">
        <w:rPr>
          <w:rStyle w:val="FootnoteReference"/>
          <w:sz w:val="24"/>
          <w:szCs w:val="24"/>
        </w:rPr>
        <w:footnoteReference w:id="1"/>
      </w:r>
    </w:p>
    <w:p w14:paraId="5A603786" w14:textId="77777777" w:rsidR="00200E61" w:rsidRDefault="00200E61" w:rsidP="00802364">
      <w:pPr>
        <w:spacing w:line="259" w:lineRule="auto"/>
        <w:ind w:left="792"/>
        <w:rPr>
          <w:sz w:val="24"/>
          <w:szCs w:val="24"/>
        </w:rPr>
      </w:pPr>
    </w:p>
    <w:p w14:paraId="330F25D0" w14:textId="268AD34C" w:rsidR="00AC0BED" w:rsidRDefault="00200E61" w:rsidP="00802364">
      <w:pPr>
        <w:spacing w:line="259" w:lineRule="auto"/>
        <w:ind w:left="792"/>
        <w:rPr>
          <w:sz w:val="24"/>
          <w:szCs w:val="24"/>
        </w:rPr>
      </w:pPr>
      <w:r>
        <w:rPr>
          <w:sz w:val="24"/>
          <w:szCs w:val="24"/>
        </w:rPr>
        <w:t xml:space="preserve">Despite the benefits of SIC codes, note that </w:t>
      </w:r>
      <w:r w:rsidR="00BB0FD5">
        <w:rPr>
          <w:sz w:val="24"/>
          <w:szCs w:val="24"/>
        </w:rPr>
        <w:t>there can be classification errors or limitations in how specific types of facilities are coded, as outlined in Young et al. (2023).</w:t>
      </w:r>
      <w:r w:rsidR="0049642E">
        <w:rPr>
          <w:sz w:val="24"/>
          <w:szCs w:val="24"/>
        </w:rPr>
        <w:t xml:space="preserve"> Please see Section 2.9 for additional information on these potential biases. </w:t>
      </w:r>
    </w:p>
    <w:p w14:paraId="672A5BF3" w14:textId="77777777" w:rsidR="00AC0BED" w:rsidRDefault="00AC0BED">
      <w:pPr>
        <w:spacing w:line="259" w:lineRule="auto"/>
        <w:ind w:left="792"/>
        <w:rPr>
          <w:sz w:val="24"/>
          <w:szCs w:val="24"/>
        </w:rPr>
      </w:pPr>
    </w:p>
    <w:p w14:paraId="5F166CBE" w14:textId="77777777" w:rsidR="00AC0BED" w:rsidRDefault="00BB0FD5">
      <w:pPr>
        <w:spacing w:line="259" w:lineRule="auto"/>
        <w:ind w:left="792"/>
        <w:rPr>
          <w:sz w:val="24"/>
          <w:szCs w:val="24"/>
        </w:rPr>
      </w:pPr>
      <w:r>
        <w:rPr>
          <w:i/>
          <w:sz w:val="24"/>
          <w:szCs w:val="24"/>
        </w:rPr>
        <w:t xml:space="preserve">Community as a Source of Social Infrastructure: </w:t>
      </w:r>
      <w:r>
        <w:rPr>
          <w:sz w:val="24"/>
          <w:szCs w:val="24"/>
        </w:rPr>
        <w:t xml:space="preserve">The indicators assume that the community resources also serve as “social infrastructure,” fostering social bonds, safety, and collective efficacy. This assumption is based on </w:t>
      </w:r>
      <w:proofErr w:type="spellStart"/>
      <w:r>
        <w:rPr>
          <w:sz w:val="24"/>
          <w:szCs w:val="24"/>
        </w:rPr>
        <w:t>Klinenberg's</w:t>
      </w:r>
      <w:proofErr w:type="spellEnd"/>
      <w:r>
        <w:rPr>
          <w:sz w:val="24"/>
          <w:szCs w:val="24"/>
        </w:rPr>
        <w:t xml:space="preserve"> (2018) model, which posits that community spaces help residents form networks, enhancing mutual support and reducing individual stress.</w:t>
      </w:r>
    </w:p>
    <w:p w14:paraId="7A568B56" w14:textId="77777777" w:rsidR="00AC0BED" w:rsidRDefault="00AC0BED">
      <w:pPr>
        <w:spacing w:line="259" w:lineRule="auto"/>
        <w:ind w:left="792"/>
        <w:rPr>
          <w:sz w:val="24"/>
          <w:szCs w:val="24"/>
        </w:rPr>
      </w:pPr>
    </w:p>
    <w:p w14:paraId="7439709B" w14:textId="77777777" w:rsidR="00AC0BED" w:rsidRDefault="00AC0BED">
      <w:pPr>
        <w:spacing w:line="259" w:lineRule="auto"/>
        <w:ind w:left="792"/>
        <w:rPr>
          <w:sz w:val="24"/>
          <w:szCs w:val="24"/>
        </w:rPr>
      </w:pPr>
    </w:p>
    <w:p w14:paraId="5AA1D442" w14:textId="77777777" w:rsidR="00AC0BED" w:rsidRDefault="00BB0FD5">
      <w:pPr>
        <w:spacing w:line="259" w:lineRule="auto"/>
        <w:ind w:left="792"/>
        <w:rPr>
          <w:sz w:val="24"/>
          <w:szCs w:val="24"/>
        </w:rPr>
      </w:pPr>
      <w:r>
        <w:rPr>
          <w:sz w:val="24"/>
          <w:szCs w:val="24"/>
        </w:rPr>
        <w:t>These assumptions underlie the FRSR framework's approach to understanding how community resources contribute to enhancing health and well-being for residents.</w:t>
      </w:r>
    </w:p>
    <w:p w14:paraId="0D58BBD3" w14:textId="77777777" w:rsidR="00AC0BED" w:rsidRDefault="00AC0BED">
      <w:pPr>
        <w:pBdr>
          <w:top w:val="nil"/>
          <w:left w:val="nil"/>
          <w:bottom w:val="nil"/>
          <w:right w:val="nil"/>
          <w:between w:val="nil"/>
        </w:pBdr>
        <w:spacing w:line="259" w:lineRule="auto"/>
        <w:ind w:left="792"/>
        <w:rPr>
          <w:sz w:val="24"/>
          <w:szCs w:val="24"/>
        </w:rPr>
      </w:pPr>
    </w:p>
    <w:p w14:paraId="202A4AF2" w14:textId="77777777" w:rsidR="00AC0BED" w:rsidRDefault="00BB0FD5">
      <w:pPr>
        <w:numPr>
          <w:ilvl w:val="1"/>
          <w:numId w:val="4"/>
        </w:numPr>
        <w:pBdr>
          <w:top w:val="nil"/>
          <w:left w:val="nil"/>
          <w:bottom w:val="nil"/>
          <w:right w:val="nil"/>
          <w:between w:val="nil"/>
        </w:pBdr>
        <w:spacing w:line="259" w:lineRule="auto"/>
        <w:rPr>
          <w:b/>
          <w:color w:val="000000"/>
          <w:sz w:val="24"/>
          <w:szCs w:val="24"/>
        </w:rPr>
      </w:pPr>
      <w:r>
        <w:rPr>
          <w:b/>
          <w:color w:val="000000"/>
          <w:sz w:val="24"/>
          <w:szCs w:val="24"/>
        </w:rPr>
        <w:t>How is the indicator/model derived? Support your explanation with formulas when possible.</w:t>
      </w:r>
    </w:p>
    <w:p w14:paraId="1189EFB9" w14:textId="77777777" w:rsidR="00AC0BED" w:rsidRDefault="00BB0FD5">
      <w:pPr>
        <w:spacing w:line="259" w:lineRule="auto"/>
        <w:ind w:left="792"/>
        <w:rPr>
          <w:sz w:val="24"/>
          <w:szCs w:val="24"/>
        </w:rPr>
      </w:pPr>
      <w:r>
        <w:rPr>
          <w:sz w:val="24"/>
          <w:szCs w:val="24"/>
        </w:rPr>
        <w:t>The FRSR indicators are derived through a structured approach involving data collection, classification and counting across census tracts.</w:t>
      </w:r>
    </w:p>
    <w:p w14:paraId="73BE3C75" w14:textId="77777777" w:rsidR="00AC0BED" w:rsidRDefault="00AC0BED">
      <w:pPr>
        <w:spacing w:line="259" w:lineRule="auto"/>
        <w:ind w:left="792"/>
        <w:rPr>
          <w:sz w:val="24"/>
          <w:szCs w:val="24"/>
        </w:rPr>
      </w:pPr>
    </w:p>
    <w:p w14:paraId="642253CE" w14:textId="49A13195" w:rsidR="00AC0BED" w:rsidRDefault="00BB0FD5">
      <w:pPr>
        <w:spacing w:line="259" w:lineRule="auto"/>
        <w:ind w:left="792"/>
        <w:rPr>
          <w:sz w:val="24"/>
          <w:szCs w:val="24"/>
        </w:rPr>
      </w:pPr>
      <w:r>
        <w:rPr>
          <w:i/>
          <w:sz w:val="24"/>
          <w:szCs w:val="24"/>
        </w:rPr>
        <w:t>Data Collection and Classification</w:t>
      </w:r>
      <w:r>
        <w:rPr>
          <w:sz w:val="24"/>
          <w:szCs w:val="24"/>
        </w:rPr>
        <w:t>:  FRSR indicators are based on data from DMTI Spatial, which provides information on various community resources across Canada.</w:t>
      </w:r>
      <w:r w:rsidR="000D52A3">
        <w:rPr>
          <w:sz w:val="24"/>
          <w:szCs w:val="24"/>
        </w:rPr>
        <w:t xml:space="preserve"> </w:t>
      </w:r>
      <w:r>
        <w:rPr>
          <w:sz w:val="24"/>
          <w:szCs w:val="24"/>
        </w:rPr>
        <w:t xml:space="preserve">Resources are categorized using Standard Industrial Classification (SIC) codes, which identify specific resource types like education facilities, food stores, recreation facilities, and police and fire </w:t>
      </w:r>
      <w:r>
        <w:rPr>
          <w:sz w:val="24"/>
          <w:szCs w:val="24"/>
        </w:rPr>
        <w:lastRenderedPageBreak/>
        <w:t>stations. This classification system allows each relevant point of interest to be categorized according to the FRSR resource types.</w:t>
      </w:r>
    </w:p>
    <w:p w14:paraId="49F140BC" w14:textId="77777777" w:rsidR="000D52A3" w:rsidRDefault="000D52A3">
      <w:pPr>
        <w:spacing w:line="259" w:lineRule="auto"/>
        <w:ind w:left="792"/>
        <w:rPr>
          <w:sz w:val="24"/>
          <w:szCs w:val="24"/>
        </w:rPr>
      </w:pPr>
    </w:p>
    <w:p w14:paraId="305A8224" w14:textId="5553DAF7" w:rsidR="000D52A3" w:rsidRPr="000D52A3" w:rsidRDefault="000D52A3">
      <w:pPr>
        <w:spacing w:line="259" w:lineRule="auto"/>
        <w:ind w:left="792"/>
        <w:rPr>
          <w:sz w:val="24"/>
          <w:szCs w:val="24"/>
        </w:rPr>
      </w:pPr>
      <w:r>
        <w:rPr>
          <w:sz w:val="24"/>
          <w:szCs w:val="24"/>
        </w:rPr>
        <w:t xml:space="preserve">More information on DMTI Spatial and SIC codes can be found </w:t>
      </w:r>
      <w:hyperlink r:id="rId10" w:history="1">
        <w:r w:rsidRPr="000D52A3">
          <w:rPr>
            <w:rStyle w:val="Hyperlink"/>
            <w:sz w:val="24"/>
            <w:szCs w:val="24"/>
          </w:rPr>
          <w:t>here</w:t>
        </w:r>
      </w:hyperlink>
      <w:r>
        <w:rPr>
          <w:sz w:val="24"/>
          <w:szCs w:val="24"/>
        </w:rPr>
        <w:t>.</w:t>
      </w:r>
    </w:p>
    <w:p w14:paraId="13F5F70E" w14:textId="77777777" w:rsidR="00AC0BED" w:rsidRDefault="00AC0BED">
      <w:pPr>
        <w:spacing w:line="259" w:lineRule="auto"/>
        <w:ind w:left="792"/>
        <w:rPr>
          <w:sz w:val="24"/>
          <w:szCs w:val="24"/>
        </w:rPr>
      </w:pPr>
    </w:p>
    <w:p w14:paraId="5E13992B" w14:textId="77777777" w:rsidR="00AC0BED" w:rsidRDefault="00BB0FD5">
      <w:pPr>
        <w:spacing w:line="259" w:lineRule="auto"/>
        <w:ind w:left="792"/>
        <w:rPr>
          <w:sz w:val="24"/>
          <w:szCs w:val="24"/>
        </w:rPr>
      </w:pPr>
      <w:r>
        <w:rPr>
          <w:i/>
          <w:sz w:val="24"/>
          <w:szCs w:val="24"/>
        </w:rPr>
        <w:t xml:space="preserve">Counting Resources by Census Tract: </w:t>
      </w:r>
      <w:r>
        <w:rPr>
          <w:sz w:val="24"/>
          <w:szCs w:val="24"/>
        </w:rPr>
        <w:t xml:space="preserve"> For each census tract, the number of resources in each category (e.g., education facilities, food stores) is tallied. These counts provide the baseline measure for each type of family and / or safety resource within the census tract.</w:t>
      </w:r>
    </w:p>
    <w:p w14:paraId="30E7F298" w14:textId="77777777" w:rsidR="00AC0BED" w:rsidRDefault="00AC0BED">
      <w:pPr>
        <w:spacing w:line="259" w:lineRule="auto"/>
        <w:ind w:left="792"/>
        <w:rPr>
          <w:sz w:val="24"/>
          <w:szCs w:val="24"/>
        </w:rPr>
      </w:pPr>
    </w:p>
    <w:p w14:paraId="4D52813E" w14:textId="77777777" w:rsidR="00AC0BED" w:rsidRDefault="00BB0FD5">
      <w:pPr>
        <w:spacing w:line="259" w:lineRule="auto"/>
        <w:rPr>
          <w:sz w:val="24"/>
          <w:szCs w:val="24"/>
          <w:u w:val="single"/>
        </w:rPr>
      </w:pPr>
      <w:r>
        <w:rPr>
          <w:sz w:val="24"/>
          <w:szCs w:val="24"/>
        </w:rPr>
        <w:t xml:space="preserve"> </w:t>
      </w:r>
      <w:r>
        <w:rPr>
          <w:sz w:val="24"/>
          <w:szCs w:val="24"/>
        </w:rPr>
        <w:tab/>
      </w:r>
      <w:r>
        <w:rPr>
          <w:sz w:val="24"/>
          <w:szCs w:val="24"/>
          <w:u w:val="single"/>
        </w:rPr>
        <w:t>We include the following recommendations to future researchers using these indicators:</w:t>
      </w:r>
    </w:p>
    <w:p w14:paraId="7135010F" w14:textId="77777777" w:rsidR="00AC0BED" w:rsidRDefault="00AC0BED">
      <w:pPr>
        <w:spacing w:line="259" w:lineRule="auto"/>
        <w:ind w:left="792"/>
        <w:rPr>
          <w:sz w:val="24"/>
          <w:szCs w:val="24"/>
        </w:rPr>
      </w:pPr>
    </w:p>
    <w:p w14:paraId="19769EFA" w14:textId="77777777" w:rsidR="00AC0BED" w:rsidRDefault="00BB0FD5">
      <w:pPr>
        <w:spacing w:line="259" w:lineRule="auto"/>
        <w:ind w:left="720"/>
        <w:rPr>
          <w:sz w:val="24"/>
          <w:szCs w:val="24"/>
        </w:rPr>
      </w:pPr>
      <w:r>
        <w:rPr>
          <w:i/>
          <w:sz w:val="24"/>
          <w:szCs w:val="24"/>
        </w:rPr>
        <w:t>Standardizing Counts by Population:</w:t>
      </w:r>
      <w:r>
        <w:rPr>
          <w:sz w:val="24"/>
          <w:szCs w:val="24"/>
        </w:rPr>
        <w:t xml:space="preserve">   To enable comparisons across census tracts with different population sizes, each resource count should be standardized per capita. This creates a measure of resources available per population unit within each tract, making the data comparable across areas with varying population densities.</w:t>
      </w:r>
    </w:p>
    <w:p w14:paraId="76BDA07A" w14:textId="77777777" w:rsidR="00AC0BED" w:rsidRDefault="00AC0BED">
      <w:pPr>
        <w:spacing w:line="259" w:lineRule="auto"/>
        <w:ind w:left="792"/>
        <w:rPr>
          <w:sz w:val="24"/>
          <w:szCs w:val="24"/>
        </w:rPr>
      </w:pPr>
    </w:p>
    <w:p w14:paraId="63C26958" w14:textId="2C05995F" w:rsidR="00AC0BED" w:rsidRDefault="00BB0FD5">
      <w:pPr>
        <w:spacing w:line="259" w:lineRule="auto"/>
        <w:ind w:left="720"/>
        <w:rPr>
          <w:sz w:val="24"/>
          <w:szCs w:val="24"/>
        </w:rPr>
      </w:pPr>
      <w:r>
        <w:rPr>
          <w:i/>
          <w:sz w:val="24"/>
          <w:szCs w:val="24"/>
        </w:rPr>
        <w:t>Z-Score Transformation:</w:t>
      </w:r>
      <w:r w:rsidR="009D01B2">
        <w:rPr>
          <w:i/>
          <w:sz w:val="24"/>
          <w:szCs w:val="24"/>
        </w:rPr>
        <w:t xml:space="preserve"> </w:t>
      </w:r>
      <w:r w:rsidR="009D01B2">
        <w:rPr>
          <w:iCs/>
          <w:sz w:val="24"/>
          <w:szCs w:val="24"/>
        </w:rPr>
        <w:t xml:space="preserve">For those wishing to use these data for descriptive and simple comparison analysis, we recommend that </w:t>
      </w:r>
      <w:r w:rsidR="009D01B2">
        <w:rPr>
          <w:sz w:val="24"/>
          <w:szCs w:val="24"/>
        </w:rPr>
        <w:t>t</w:t>
      </w:r>
      <w:r>
        <w:rPr>
          <w:sz w:val="24"/>
          <w:szCs w:val="24"/>
        </w:rPr>
        <w:t xml:space="preserve">he standardized counts for each resource category be transformed into z-scores, which normalize the data across census tracts. This transformation ensures that each resource type is </w:t>
      </w:r>
      <w:r w:rsidR="0054037C">
        <w:rPr>
          <w:sz w:val="24"/>
          <w:szCs w:val="24"/>
        </w:rPr>
        <w:t>centred</w:t>
      </w:r>
      <w:r>
        <w:rPr>
          <w:sz w:val="24"/>
          <w:szCs w:val="24"/>
        </w:rPr>
        <w:t xml:space="preserve"> around the same scale, allowing for direct comparisons within and across census tracts.</w:t>
      </w:r>
    </w:p>
    <w:p w14:paraId="34504D14" w14:textId="77777777" w:rsidR="00AC0BED" w:rsidRDefault="00AC0BED">
      <w:pPr>
        <w:spacing w:line="259" w:lineRule="auto"/>
        <w:ind w:left="792"/>
        <w:rPr>
          <w:sz w:val="24"/>
          <w:szCs w:val="24"/>
        </w:rPr>
      </w:pPr>
    </w:p>
    <w:p w14:paraId="07A9D8A1" w14:textId="77777777" w:rsidR="00AC0BED" w:rsidRDefault="00AC0BED">
      <w:pPr>
        <w:pBdr>
          <w:top w:val="nil"/>
          <w:left w:val="nil"/>
          <w:bottom w:val="nil"/>
          <w:right w:val="nil"/>
          <w:between w:val="nil"/>
        </w:pBdr>
        <w:spacing w:line="259" w:lineRule="auto"/>
        <w:ind w:left="792"/>
        <w:rPr>
          <w:b/>
          <w:sz w:val="24"/>
          <w:szCs w:val="24"/>
        </w:rPr>
      </w:pPr>
    </w:p>
    <w:p w14:paraId="19E83C3B" w14:textId="77777777" w:rsidR="00AC0BED" w:rsidRDefault="00BB0FD5">
      <w:pPr>
        <w:numPr>
          <w:ilvl w:val="1"/>
          <w:numId w:val="4"/>
        </w:numPr>
        <w:pBdr>
          <w:top w:val="nil"/>
          <w:left w:val="nil"/>
          <w:bottom w:val="nil"/>
          <w:right w:val="nil"/>
          <w:between w:val="nil"/>
        </w:pBdr>
        <w:spacing w:line="259" w:lineRule="auto"/>
        <w:rPr>
          <w:b/>
          <w:color w:val="000000"/>
          <w:sz w:val="24"/>
          <w:szCs w:val="24"/>
        </w:rPr>
      </w:pPr>
      <w:r>
        <w:rPr>
          <w:b/>
          <w:sz w:val="24"/>
          <w:szCs w:val="24"/>
        </w:rPr>
        <w:t>What is the u</w:t>
      </w:r>
      <w:r>
        <w:rPr>
          <w:b/>
          <w:color w:val="000000"/>
          <w:sz w:val="24"/>
          <w:szCs w:val="24"/>
        </w:rPr>
        <w:t xml:space="preserve">nit of analysis of the </w:t>
      </w:r>
      <w:r>
        <w:rPr>
          <w:b/>
          <w:sz w:val="24"/>
          <w:szCs w:val="24"/>
        </w:rPr>
        <w:t>indicator/model?</w:t>
      </w:r>
      <w:r>
        <w:rPr>
          <w:b/>
          <w:color w:val="000000"/>
          <w:sz w:val="24"/>
          <w:szCs w:val="24"/>
        </w:rPr>
        <w:t xml:space="preserve"> (e.g. households, persons, cities)</w:t>
      </w:r>
    </w:p>
    <w:p w14:paraId="7D5B6F8F" w14:textId="248BED02" w:rsidR="00AC0BED" w:rsidRDefault="00BB0FD5">
      <w:pPr>
        <w:pBdr>
          <w:top w:val="nil"/>
          <w:left w:val="nil"/>
          <w:bottom w:val="nil"/>
          <w:right w:val="nil"/>
          <w:between w:val="nil"/>
        </w:pBdr>
        <w:spacing w:line="259" w:lineRule="auto"/>
        <w:ind w:left="792"/>
        <w:rPr>
          <w:sz w:val="24"/>
          <w:szCs w:val="24"/>
        </w:rPr>
      </w:pPr>
      <w:r>
        <w:rPr>
          <w:sz w:val="24"/>
          <w:szCs w:val="24"/>
        </w:rPr>
        <w:t>The unit of analysis is</w:t>
      </w:r>
      <w:r w:rsidR="009D01B2">
        <w:rPr>
          <w:sz w:val="24"/>
          <w:szCs w:val="24"/>
        </w:rPr>
        <w:t xml:space="preserve"> the census tract. </w:t>
      </w:r>
    </w:p>
    <w:p w14:paraId="37D3AFC5" w14:textId="77777777" w:rsidR="00AC0BED" w:rsidRDefault="00AC0BED">
      <w:pPr>
        <w:pBdr>
          <w:top w:val="nil"/>
          <w:left w:val="nil"/>
          <w:bottom w:val="nil"/>
          <w:right w:val="nil"/>
          <w:between w:val="nil"/>
        </w:pBdr>
        <w:spacing w:line="259" w:lineRule="auto"/>
        <w:ind w:left="792"/>
        <w:rPr>
          <w:b/>
          <w:sz w:val="24"/>
          <w:szCs w:val="24"/>
        </w:rPr>
      </w:pPr>
    </w:p>
    <w:p w14:paraId="4F0AE4EB" w14:textId="77777777" w:rsidR="00AC0BED" w:rsidRDefault="00BB0FD5">
      <w:pPr>
        <w:numPr>
          <w:ilvl w:val="1"/>
          <w:numId w:val="4"/>
        </w:numPr>
        <w:pBdr>
          <w:top w:val="nil"/>
          <w:left w:val="nil"/>
          <w:bottom w:val="nil"/>
          <w:right w:val="nil"/>
          <w:between w:val="nil"/>
        </w:pBdr>
        <w:spacing w:line="259" w:lineRule="auto"/>
        <w:rPr>
          <w:b/>
          <w:color w:val="000000"/>
          <w:sz w:val="24"/>
          <w:szCs w:val="24"/>
        </w:rPr>
      </w:pPr>
      <w:r>
        <w:rPr>
          <w:b/>
          <w:color w:val="000000"/>
          <w:sz w:val="24"/>
          <w:szCs w:val="24"/>
        </w:rPr>
        <w:t>How can the indicator be integrated with other datasets?</w:t>
      </w:r>
    </w:p>
    <w:p w14:paraId="6FFCE8BB" w14:textId="33248937" w:rsidR="00AC0BED" w:rsidRDefault="00BB0FD5">
      <w:pPr>
        <w:pBdr>
          <w:top w:val="nil"/>
          <w:left w:val="nil"/>
          <w:bottom w:val="nil"/>
          <w:right w:val="nil"/>
          <w:between w:val="nil"/>
        </w:pBdr>
        <w:spacing w:line="259" w:lineRule="auto"/>
        <w:ind w:left="792"/>
        <w:rPr>
          <w:sz w:val="24"/>
          <w:szCs w:val="24"/>
        </w:rPr>
      </w:pPr>
      <w:r>
        <w:rPr>
          <w:sz w:val="24"/>
          <w:szCs w:val="24"/>
        </w:rPr>
        <w:t xml:space="preserve">Using the census tract identifier, counts can be aggregated to different levels of census geography through a tabular join. Any data that has been collected at (or aggregated to) the </w:t>
      </w:r>
      <w:r w:rsidR="009D01B2">
        <w:rPr>
          <w:sz w:val="24"/>
          <w:szCs w:val="24"/>
        </w:rPr>
        <w:t>census tract level</w:t>
      </w:r>
      <w:r>
        <w:rPr>
          <w:sz w:val="24"/>
          <w:szCs w:val="24"/>
        </w:rPr>
        <w:t xml:space="preserve"> or coarser can be joined to this dataset by CTUID. We would not be able to get FRSR counts down to a finer level of geography from </w:t>
      </w:r>
      <w:r w:rsidR="009D01B2">
        <w:rPr>
          <w:sz w:val="24"/>
          <w:szCs w:val="24"/>
        </w:rPr>
        <w:t>census tract</w:t>
      </w:r>
      <w:r>
        <w:rPr>
          <w:sz w:val="24"/>
          <w:szCs w:val="24"/>
        </w:rPr>
        <w:t>, but could extract using finer boundaries (e.g. dissemination area)</w:t>
      </w:r>
    </w:p>
    <w:p w14:paraId="54793436" w14:textId="77777777" w:rsidR="00AC0BED" w:rsidRDefault="00AC0BED">
      <w:pPr>
        <w:pBdr>
          <w:top w:val="nil"/>
          <w:left w:val="nil"/>
          <w:bottom w:val="nil"/>
          <w:right w:val="nil"/>
          <w:between w:val="nil"/>
        </w:pBdr>
        <w:spacing w:line="259" w:lineRule="auto"/>
        <w:ind w:left="792"/>
        <w:rPr>
          <w:b/>
          <w:sz w:val="24"/>
          <w:szCs w:val="24"/>
        </w:rPr>
      </w:pPr>
    </w:p>
    <w:p w14:paraId="48D4D335" w14:textId="77777777" w:rsidR="00AC0BED" w:rsidRDefault="00BB0FD5">
      <w:pPr>
        <w:numPr>
          <w:ilvl w:val="1"/>
          <w:numId w:val="4"/>
        </w:numPr>
        <w:pBdr>
          <w:top w:val="nil"/>
          <w:left w:val="nil"/>
          <w:bottom w:val="nil"/>
          <w:right w:val="nil"/>
          <w:between w:val="nil"/>
        </w:pBdr>
        <w:spacing w:line="259" w:lineRule="auto"/>
        <w:rPr>
          <w:b/>
          <w:color w:val="000000"/>
          <w:sz w:val="24"/>
          <w:szCs w:val="24"/>
        </w:rPr>
      </w:pPr>
      <w:r>
        <w:rPr>
          <w:b/>
          <w:sz w:val="24"/>
          <w:szCs w:val="24"/>
        </w:rPr>
        <w:t>What are the b</w:t>
      </w:r>
      <w:r>
        <w:rPr>
          <w:b/>
          <w:color w:val="000000"/>
          <w:sz w:val="24"/>
          <w:szCs w:val="24"/>
        </w:rPr>
        <w:t>oundaries of the indicator/model?</w:t>
      </w:r>
    </w:p>
    <w:p w14:paraId="27B77F0F" w14:textId="77777777" w:rsidR="00AC0BED" w:rsidRDefault="00BB0FD5">
      <w:pPr>
        <w:pBdr>
          <w:top w:val="nil"/>
          <w:left w:val="nil"/>
          <w:bottom w:val="nil"/>
          <w:right w:val="nil"/>
          <w:between w:val="nil"/>
        </w:pBdr>
        <w:spacing w:line="259" w:lineRule="auto"/>
        <w:ind w:firstLine="720"/>
        <w:rPr>
          <w:sz w:val="24"/>
          <w:szCs w:val="24"/>
          <w:highlight w:val="white"/>
        </w:rPr>
      </w:pPr>
      <w:r>
        <w:rPr>
          <w:sz w:val="24"/>
          <w:szCs w:val="24"/>
          <w:highlight w:val="white"/>
        </w:rPr>
        <w:t xml:space="preserve">Values can range from zero into the hundreds. However, we did not detect any census tract with </w:t>
      </w:r>
    </w:p>
    <w:p w14:paraId="45921E04" w14:textId="77777777" w:rsidR="00AC0BED" w:rsidRDefault="00BB0FD5">
      <w:pPr>
        <w:pBdr>
          <w:top w:val="nil"/>
          <w:left w:val="nil"/>
          <w:bottom w:val="nil"/>
          <w:right w:val="nil"/>
          <w:between w:val="nil"/>
        </w:pBdr>
        <w:spacing w:line="259" w:lineRule="auto"/>
        <w:ind w:left="720"/>
        <w:rPr>
          <w:sz w:val="24"/>
          <w:szCs w:val="24"/>
          <w:highlight w:val="white"/>
        </w:rPr>
      </w:pPr>
      <w:r>
        <w:rPr>
          <w:sz w:val="24"/>
          <w:szCs w:val="24"/>
          <w:highlight w:val="white"/>
        </w:rPr>
        <w:t xml:space="preserve">more than 100 or any given resource type. Value ranges may vary if researchers choose to standardize counts by population. </w:t>
      </w:r>
    </w:p>
    <w:p w14:paraId="119668CE" w14:textId="77777777" w:rsidR="00AC0BED" w:rsidRDefault="00AC0BED">
      <w:pPr>
        <w:pBdr>
          <w:top w:val="nil"/>
          <w:left w:val="nil"/>
          <w:bottom w:val="nil"/>
          <w:right w:val="nil"/>
          <w:between w:val="nil"/>
        </w:pBdr>
        <w:spacing w:line="259" w:lineRule="auto"/>
        <w:rPr>
          <w:b/>
          <w:sz w:val="24"/>
          <w:szCs w:val="24"/>
        </w:rPr>
      </w:pPr>
    </w:p>
    <w:p w14:paraId="523F6926" w14:textId="77777777" w:rsidR="00AC0BED" w:rsidRDefault="00BB0FD5">
      <w:pPr>
        <w:numPr>
          <w:ilvl w:val="1"/>
          <w:numId w:val="4"/>
        </w:numPr>
        <w:pBdr>
          <w:top w:val="nil"/>
          <w:left w:val="nil"/>
          <w:bottom w:val="nil"/>
          <w:right w:val="nil"/>
          <w:between w:val="nil"/>
        </w:pBdr>
        <w:spacing w:line="259" w:lineRule="auto"/>
        <w:rPr>
          <w:b/>
          <w:color w:val="000000"/>
          <w:sz w:val="24"/>
          <w:szCs w:val="24"/>
        </w:rPr>
      </w:pPr>
      <w:r>
        <w:rPr>
          <w:b/>
          <w:color w:val="000000"/>
          <w:sz w:val="24"/>
          <w:szCs w:val="24"/>
        </w:rPr>
        <w:t>If you want to add a model to CSDUL, is this associated with a hypothesis? If yes, please describe their:</w:t>
      </w:r>
    </w:p>
    <w:p w14:paraId="65B1A720" w14:textId="77777777" w:rsidR="00AC0BED" w:rsidRDefault="00BB0FD5">
      <w:pPr>
        <w:numPr>
          <w:ilvl w:val="2"/>
          <w:numId w:val="2"/>
        </w:numPr>
        <w:pBdr>
          <w:top w:val="nil"/>
          <w:left w:val="nil"/>
          <w:bottom w:val="nil"/>
          <w:right w:val="nil"/>
          <w:between w:val="nil"/>
        </w:pBdr>
        <w:spacing w:line="259" w:lineRule="auto"/>
        <w:rPr>
          <w:b/>
          <w:color w:val="000000"/>
          <w:sz w:val="24"/>
          <w:szCs w:val="24"/>
        </w:rPr>
      </w:pPr>
      <w:r>
        <w:rPr>
          <w:b/>
          <w:color w:val="000000"/>
          <w:sz w:val="24"/>
          <w:szCs w:val="24"/>
        </w:rPr>
        <w:t>Null hypothesis</w:t>
      </w:r>
    </w:p>
    <w:p w14:paraId="6B656C09" w14:textId="77777777" w:rsidR="00AC0BED" w:rsidRDefault="00BB0FD5">
      <w:pPr>
        <w:numPr>
          <w:ilvl w:val="2"/>
          <w:numId w:val="2"/>
        </w:numPr>
        <w:pBdr>
          <w:top w:val="nil"/>
          <w:left w:val="nil"/>
          <w:bottom w:val="nil"/>
          <w:right w:val="nil"/>
          <w:between w:val="nil"/>
        </w:pBdr>
        <w:spacing w:line="259" w:lineRule="auto"/>
        <w:rPr>
          <w:b/>
          <w:color w:val="000000"/>
          <w:sz w:val="24"/>
          <w:szCs w:val="24"/>
        </w:rPr>
      </w:pPr>
      <w:r>
        <w:rPr>
          <w:b/>
          <w:color w:val="000000"/>
          <w:sz w:val="24"/>
          <w:szCs w:val="24"/>
        </w:rPr>
        <w:t>Alternative hypothesis</w:t>
      </w:r>
    </w:p>
    <w:p w14:paraId="2CEE8750" w14:textId="77777777" w:rsidR="00AC0BED" w:rsidRDefault="00BB0FD5">
      <w:pPr>
        <w:numPr>
          <w:ilvl w:val="2"/>
          <w:numId w:val="2"/>
        </w:numPr>
        <w:pBdr>
          <w:top w:val="nil"/>
          <w:left w:val="nil"/>
          <w:bottom w:val="nil"/>
          <w:right w:val="nil"/>
          <w:between w:val="nil"/>
        </w:pBdr>
        <w:spacing w:line="259" w:lineRule="auto"/>
        <w:rPr>
          <w:b/>
          <w:color w:val="000000"/>
          <w:sz w:val="24"/>
          <w:szCs w:val="24"/>
        </w:rPr>
      </w:pPr>
      <w:r>
        <w:rPr>
          <w:b/>
          <w:sz w:val="24"/>
          <w:szCs w:val="24"/>
        </w:rPr>
        <w:t>T</w:t>
      </w:r>
      <w:r>
        <w:rPr>
          <w:b/>
          <w:color w:val="000000"/>
          <w:sz w:val="24"/>
          <w:szCs w:val="24"/>
        </w:rPr>
        <w:t>he implications of rejecting the null hypothesis</w:t>
      </w:r>
    </w:p>
    <w:p w14:paraId="55C9CD38" w14:textId="77777777" w:rsidR="00AC0BED" w:rsidRDefault="00AC0BED">
      <w:pPr>
        <w:pBdr>
          <w:top w:val="nil"/>
          <w:left w:val="nil"/>
          <w:bottom w:val="nil"/>
          <w:right w:val="nil"/>
          <w:between w:val="nil"/>
        </w:pBdr>
        <w:spacing w:line="259" w:lineRule="auto"/>
        <w:ind w:left="1080"/>
        <w:rPr>
          <w:b/>
          <w:color w:val="000000"/>
          <w:sz w:val="24"/>
          <w:szCs w:val="24"/>
        </w:rPr>
      </w:pPr>
    </w:p>
    <w:p w14:paraId="39D2D049" w14:textId="77777777" w:rsidR="00AC0BED" w:rsidRDefault="00BB0FD5">
      <w:pPr>
        <w:numPr>
          <w:ilvl w:val="1"/>
          <w:numId w:val="4"/>
        </w:numPr>
        <w:pBdr>
          <w:top w:val="nil"/>
          <w:left w:val="nil"/>
          <w:bottom w:val="nil"/>
          <w:right w:val="nil"/>
          <w:between w:val="nil"/>
        </w:pBdr>
        <w:spacing w:line="259" w:lineRule="auto"/>
        <w:rPr>
          <w:b/>
          <w:color w:val="000000"/>
          <w:sz w:val="24"/>
          <w:szCs w:val="24"/>
        </w:rPr>
      </w:pPr>
      <w:r>
        <w:rPr>
          <w:b/>
          <w:color w:val="000000"/>
          <w:sz w:val="24"/>
          <w:szCs w:val="24"/>
        </w:rPr>
        <w:t>What is the interpretation of the values of the indicator/model?</w:t>
      </w:r>
    </w:p>
    <w:p w14:paraId="678D4C6B" w14:textId="77777777" w:rsidR="00AC0BED" w:rsidRDefault="00BB0FD5">
      <w:pPr>
        <w:pBdr>
          <w:top w:val="nil"/>
          <w:left w:val="nil"/>
          <w:bottom w:val="nil"/>
          <w:right w:val="nil"/>
          <w:between w:val="nil"/>
        </w:pBdr>
        <w:spacing w:line="259" w:lineRule="auto"/>
        <w:ind w:left="792"/>
        <w:rPr>
          <w:sz w:val="24"/>
          <w:szCs w:val="24"/>
        </w:rPr>
      </w:pPr>
      <w:r>
        <w:rPr>
          <w:sz w:val="24"/>
          <w:szCs w:val="24"/>
        </w:rPr>
        <w:t xml:space="preserve">Higher values equal greater resources of that given classification. </w:t>
      </w:r>
    </w:p>
    <w:p w14:paraId="32B9A526" w14:textId="77777777" w:rsidR="00AC0BED" w:rsidRDefault="00AC0BED">
      <w:pPr>
        <w:pBdr>
          <w:top w:val="nil"/>
          <w:left w:val="nil"/>
          <w:bottom w:val="nil"/>
          <w:right w:val="nil"/>
          <w:between w:val="nil"/>
        </w:pBdr>
        <w:spacing w:line="259" w:lineRule="auto"/>
        <w:ind w:left="792"/>
        <w:rPr>
          <w:b/>
          <w:color w:val="000000"/>
          <w:sz w:val="24"/>
          <w:szCs w:val="24"/>
        </w:rPr>
      </w:pPr>
    </w:p>
    <w:p w14:paraId="17017B73" w14:textId="77777777" w:rsidR="00AC0BED" w:rsidRDefault="00BB0FD5">
      <w:pPr>
        <w:numPr>
          <w:ilvl w:val="1"/>
          <w:numId w:val="4"/>
        </w:numPr>
        <w:pBdr>
          <w:top w:val="nil"/>
          <w:left w:val="nil"/>
          <w:bottom w:val="nil"/>
          <w:right w:val="nil"/>
          <w:between w:val="nil"/>
        </w:pBdr>
        <w:spacing w:line="259" w:lineRule="auto"/>
        <w:rPr>
          <w:b/>
          <w:color w:val="000000"/>
          <w:sz w:val="24"/>
          <w:szCs w:val="24"/>
        </w:rPr>
      </w:pPr>
      <w:r>
        <w:rPr>
          <w:b/>
          <w:color w:val="000000"/>
          <w:sz w:val="24"/>
          <w:szCs w:val="24"/>
        </w:rPr>
        <w:lastRenderedPageBreak/>
        <w:t>Based on the literature and your experience working with this indicator/model</w:t>
      </w:r>
      <w:r>
        <w:rPr>
          <w:b/>
          <w:sz w:val="24"/>
          <w:szCs w:val="24"/>
        </w:rPr>
        <w:t>, i</w:t>
      </w:r>
      <w:r>
        <w:rPr>
          <w:b/>
          <w:color w:val="000000"/>
          <w:sz w:val="24"/>
          <w:szCs w:val="24"/>
        </w:rPr>
        <w:t xml:space="preserve">s it </w:t>
      </w:r>
      <w:r>
        <w:rPr>
          <w:b/>
          <w:color w:val="000000"/>
          <w:sz w:val="24"/>
          <w:szCs w:val="24"/>
          <w:highlight w:val="white"/>
        </w:rPr>
        <w:t>possible to identify weaknesses in its calculations or assumptions? To facilitate your answer, you can focus on:</w:t>
      </w:r>
    </w:p>
    <w:p w14:paraId="2EE999AF" w14:textId="77777777" w:rsidR="00AC0BED" w:rsidRDefault="00BB0FD5">
      <w:pPr>
        <w:numPr>
          <w:ilvl w:val="0"/>
          <w:numId w:val="3"/>
        </w:numPr>
        <w:pBdr>
          <w:top w:val="nil"/>
          <w:left w:val="nil"/>
          <w:bottom w:val="nil"/>
          <w:right w:val="nil"/>
          <w:between w:val="nil"/>
        </w:pBdr>
        <w:spacing w:line="259" w:lineRule="auto"/>
        <w:rPr>
          <w:b/>
          <w:color w:val="000000"/>
          <w:sz w:val="24"/>
          <w:szCs w:val="24"/>
          <w:highlight w:val="white"/>
        </w:rPr>
      </w:pPr>
      <w:r>
        <w:rPr>
          <w:b/>
          <w:color w:val="000000"/>
          <w:sz w:val="24"/>
          <w:szCs w:val="24"/>
          <w:highlight w:val="white"/>
        </w:rPr>
        <w:t>Potential biases</w:t>
      </w:r>
    </w:p>
    <w:p w14:paraId="52B99D2C" w14:textId="77777777" w:rsidR="00AC0BED" w:rsidRDefault="00BB0FD5">
      <w:pPr>
        <w:numPr>
          <w:ilvl w:val="0"/>
          <w:numId w:val="3"/>
        </w:numPr>
        <w:pBdr>
          <w:top w:val="nil"/>
          <w:left w:val="nil"/>
          <w:bottom w:val="nil"/>
          <w:right w:val="nil"/>
          <w:between w:val="nil"/>
        </w:pBdr>
        <w:spacing w:line="259" w:lineRule="auto"/>
        <w:rPr>
          <w:b/>
          <w:color w:val="000000"/>
          <w:sz w:val="24"/>
          <w:szCs w:val="24"/>
          <w:highlight w:val="white"/>
        </w:rPr>
      </w:pPr>
      <w:r>
        <w:rPr>
          <w:b/>
          <w:color w:val="000000"/>
          <w:sz w:val="24"/>
          <w:szCs w:val="24"/>
          <w:highlight w:val="white"/>
        </w:rPr>
        <w:t>Overestimation</w:t>
      </w:r>
    </w:p>
    <w:p w14:paraId="35CF8F94" w14:textId="77777777" w:rsidR="00AC0BED" w:rsidRDefault="00BB0FD5">
      <w:pPr>
        <w:numPr>
          <w:ilvl w:val="0"/>
          <w:numId w:val="3"/>
        </w:numPr>
        <w:pBdr>
          <w:top w:val="nil"/>
          <w:left w:val="nil"/>
          <w:bottom w:val="nil"/>
          <w:right w:val="nil"/>
          <w:between w:val="nil"/>
        </w:pBdr>
        <w:spacing w:line="259" w:lineRule="auto"/>
        <w:rPr>
          <w:b/>
          <w:color w:val="000000"/>
          <w:sz w:val="24"/>
          <w:szCs w:val="24"/>
          <w:highlight w:val="white"/>
        </w:rPr>
      </w:pPr>
      <w:r>
        <w:rPr>
          <w:b/>
          <w:color w:val="000000"/>
          <w:sz w:val="24"/>
          <w:szCs w:val="24"/>
          <w:highlight w:val="white"/>
        </w:rPr>
        <w:t>Underestimation</w:t>
      </w:r>
    </w:p>
    <w:p w14:paraId="76C3FE7F" w14:textId="77777777" w:rsidR="00AC0BED" w:rsidRDefault="00BB0FD5">
      <w:pPr>
        <w:numPr>
          <w:ilvl w:val="0"/>
          <w:numId w:val="3"/>
        </w:numPr>
        <w:pBdr>
          <w:top w:val="nil"/>
          <w:left w:val="nil"/>
          <w:bottom w:val="nil"/>
          <w:right w:val="nil"/>
          <w:between w:val="nil"/>
        </w:pBdr>
        <w:spacing w:line="259" w:lineRule="auto"/>
        <w:rPr>
          <w:b/>
          <w:color w:val="000000"/>
          <w:sz w:val="24"/>
          <w:szCs w:val="24"/>
          <w:highlight w:val="white"/>
        </w:rPr>
      </w:pPr>
      <w:r>
        <w:rPr>
          <w:b/>
          <w:color w:val="000000"/>
          <w:sz w:val="24"/>
          <w:szCs w:val="24"/>
          <w:highlight w:val="white"/>
        </w:rPr>
        <w:t>Omitted variables</w:t>
      </w:r>
    </w:p>
    <w:p w14:paraId="58075741" w14:textId="77777777" w:rsidR="00AC0BED" w:rsidRDefault="00BB0FD5">
      <w:pPr>
        <w:numPr>
          <w:ilvl w:val="0"/>
          <w:numId w:val="3"/>
        </w:numPr>
        <w:pBdr>
          <w:top w:val="nil"/>
          <w:left w:val="nil"/>
          <w:bottom w:val="nil"/>
          <w:right w:val="nil"/>
          <w:between w:val="nil"/>
        </w:pBdr>
        <w:spacing w:line="259" w:lineRule="auto"/>
        <w:rPr>
          <w:b/>
          <w:color w:val="000000"/>
          <w:sz w:val="24"/>
          <w:szCs w:val="24"/>
          <w:highlight w:val="white"/>
        </w:rPr>
      </w:pPr>
      <w:r>
        <w:rPr>
          <w:b/>
          <w:color w:val="000000"/>
          <w:sz w:val="24"/>
          <w:szCs w:val="24"/>
          <w:highlight w:val="white"/>
        </w:rPr>
        <w:t>Endogeneity</w:t>
      </w:r>
    </w:p>
    <w:p w14:paraId="2CAB420A" w14:textId="77777777" w:rsidR="00AC0BED" w:rsidRDefault="00BB0FD5">
      <w:pPr>
        <w:numPr>
          <w:ilvl w:val="0"/>
          <w:numId w:val="3"/>
        </w:numPr>
        <w:pBdr>
          <w:top w:val="nil"/>
          <w:left w:val="nil"/>
          <w:bottom w:val="nil"/>
          <w:right w:val="nil"/>
          <w:between w:val="nil"/>
        </w:pBdr>
        <w:spacing w:line="259" w:lineRule="auto"/>
        <w:rPr>
          <w:b/>
          <w:color w:val="000000"/>
          <w:sz w:val="24"/>
          <w:szCs w:val="24"/>
          <w:highlight w:val="white"/>
        </w:rPr>
      </w:pPr>
      <w:proofErr w:type="spellStart"/>
      <w:r>
        <w:rPr>
          <w:b/>
          <w:color w:val="000000"/>
          <w:sz w:val="24"/>
          <w:szCs w:val="24"/>
          <w:highlight w:val="white"/>
        </w:rPr>
        <w:t>Datasets</w:t>
      </w:r>
      <w:r>
        <w:rPr>
          <w:b/>
          <w:sz w:val="24"/>
          <w:szCs w:val="24"/>
          <w:highlight w:val="white"/>
        </w:rPr>
        <w:t>’</w:t>
      </w:r>
      <w:proofErr w:type="spellEnd"/>
      <w:r>
        <w:rPr>
          <w:b/>
          <w:color w:val="000000"/>
          <w:sz w:val="24"/>
          <w:szCs w:val="24"/>
          <w:highlight w:val="white"/>
        </w:rPr>
        <w:t xml:space="preserve"> problems</w:t>
      </w:r>
    </w:p>
    <w:p w14:paraId="411142EA" w14:textId="77777777" w:rsidR="00AC0BED" w:rsidRDefault="00AC0BED">
      <w:pPr>
        <w:pBdr>
          <w:top w:val="nil"/>
          <w:left w:val="nil"/>
          <w:bottom w:val="nil"/>
          <w:right w:val="nil"/>
          <w:between w:val="nil"/>
        </w:pBdr>
        <w:spacing w:line="259" w:lineRule="auto"/>
        <w:ind w:firstLine="720"/>
        <w:rPr>
          <w:sz w:val="24"/>
          <w:szCs w:val="24"/>
          <w:highlight w:val="white"/>
        </w:rPr>
      </w:pPr>
    </w:p>
    <w:p w14:paraId="4E40D736" w14:textId="77777777" w:rsidR="00AC0BED" w:rsidRDefault="00BB0FD5">
      <w:pPr>
        <w:pBdr>
          <w:top w:val="nil"/>
          <w:left w:val="nil"/>
          <w:bottom w:val="nil"/>
          <w:right w:val="nil"/>
          <w:between w:val="nil"/>
        </w:pBdr>
        <w:spacing w:line="259" w:lineRule="auto"/>
        <w:ind w:firstLine="720"/>
        <w:rPr>
          <w:sz w:val="24"/>
          <w:szCs w:val="24"/>
          <w:highlight w:val="white"/>
        </w:rPr>
      </w:pPr>
      <w:r>
        <w:rPr>
          <w:sz w:val="24"/>
          <w:szCs w:val="24"/>
          <w:highlight w:val="white"/>
        </w:rPr>
        <w:t>There are limitations to our indicators related to validity and reliability. To assess these</w:t>
      </w:r>
    </w:p>
    <w:p w14:paraId="288D020B" w14:textId="77777777" w:rsidR="00AC0BED" w:rsidRDefault="00BB0FD5">
      <w:pPr>
        <w:pBdr>
          <w:top w:val="nil"/>
          <w:left w:val="nil"/>
          <w:bottom w:val="nil"/>
          <w:right w:val="nil"/>
          <w:between w:val="nil"/>
        </w:pBdr>
        <w:spacing w:line="259" w:lineRule="auto"/>
        <w:ind w:firstLine="720"/>
        <w:rPr>
          <w:sz w:val="24"/>
          <w:szCs w:val="24"/>
          <w:highlight w:val="white"/>
        </w:rPr>
      </w:pPr>
      <w:r>
        <w:rPr>
          <w:sz w:val="24"/>
          <w:szCs w:val="24"/>
          <w:highlight w:val="white"/>
        </w:rPr>
        <w:t xml:space="preserve">weaknesses, we conducted spot checks for each SIC code within and across each resource type. </w:t>
      </w:r>
    </w:p>
    <w:p w14:paraId="44942827" w14:textId="77777777" w:rsidR="00AC0BED" w:rsidRDefault="00AC0BED">
      <w:pPr>
        <w:pBdr>
          <w:top w:val="nil"/>
          <w:left w:val="nil"/>
          <w:bottom w:val="nil"/>
          <w:right w:val="nil"/>
          <w:between w:val="nil"/>
        </w:pBdr>
        <w:spacing w:line="259" w:lineRule="auto"/>
        <w:ind w:firstLine="720"/>
        <w:rPr>
          <w:sz w:val="24"/>
          <w:szCs w:val="24"/>
          <w:highlight w:val="white"/>
        </w:rPr>
      </w:pPr>
    </w:p>
    <w:p w14:paraId="02D536F0" w14:textId="77777777" w:rsidR="00AC0BED" w:rsidRDefault="00BB0FD5">
      <w:pPr>
        <w:pBdr>
          <w:top w:val="nil"/>
          <w:left w:val="nil"/>
          <w:bottom w:val="nil"/>
          <w:right w:val="nil"/>
          <w:between w:val="nil"/>
        </w:pBdr>
        <w:spacing w:line="259" w:lineRule="auto"/>
        <w:ind w:firstLine="720"/>
        <w:rPr>
          <w:sz w:val="24"/>
          <w:szCs w:val="24"/>
          <w:highlight w:val="white"/>
        </w:rPr>
      </w:pPr>
      <w:r>
        <w:rPr>
          <w:sz w:val="24"/>
          <w:szCs w:val="24"/>
          <w:highlight w:val="white"/>
        </w:rPr>
        <w:t xml:space="preserve">Due to limited RA hours, we were only able to spot check two census tracts across each </w:t>
      </w:r>
    </w:p>
    <w:p w14:paraId="48A955B3" w14:textId="77777777" w:rsidR="00AC0BED" w:rsidRDefault="00BB0FD5">
      <w:pPr>
        <w:pBdr>
          <w:top w:val="nil"/>
          <w:left w:val="nil"/>
          <w:bottom w:val="nil"/>
          <w:right w:val="nil"/>
          <w:between w:val="nil"/>
        </w:pBdr>
        <w:spacing w:line="259" w:lineRule="auto"/>
        <w:ind w:left="720"/>
        <w:rPr>
          <w:sz w:val="24"/>
          <w:szCs w:val="24"/>
          <w:highlight w:val="white"/>
        </w:rPr>
      </w:pPr>
      <w:r>
        <w:rPr>
          <w:sz w:val="24"/>
          <w:szCs w:val="24"/>
          <w:highlight w:val="white"/>
        </w:rPr>
        <w:t xml:space="preserve">year of data per SIC code. Based on these </w:t>
      </w:r>
      <w:proofErr w:type="spellStart"/>
      <w:r>
        <w:rPr>
          <w:sz w:val="24"/>
          <w:szCs w:val="24"/>
          <w:highlight w:val="white"/>
        </w:rPr>
        <w:t>spotchecks</w:t>
      </w:r>
      <w:proofErr w:type="spellEnd"/>
      <w:r>
        <w:rPr>
          <w:sz w:val="24"/>
          <w:szCs w:val="24"/>
          <w:highlight w:val="white"/>
        </w:rPr>
        <w:t xml:space="preserve">, we  provide a series of </w:t>
      </w:r>
      <w:hyperlink r:id="rId11">
        <w:r>
          <w:rPr>
            <w:color w:val="1155CC"/>
            <w:sz w:val="24"/>
            <w:szCs w:val="24"/>
            <w:highlight w:val="white"/>
            <w:u w:val="single"/>
          </w:rPr>
          <w:t>queries and recommendations</w:t>
        </w:r>
      </w:hyperlink>
      <w:r>
        <w:rPr>
          <w:sz w:val="24"/>
          <w:szCs w:val="24"/>
          <w:highlight w:val="white"/>
          <w:u w:val="single"/>
        </w:rPr>
        <w:t xml:space="preserve"> </w:t>
      </w:r>
      <w:r>
        <w:rPr>
          <w:sz w:val="24"/>
          <w:szCs w:val="24"/>
          <w:highlight w:val="white"/>
        </w:rPr>
        <w:t>(see attached doc). Note, we have included datasets with indicators in counts in their original form, as well as filtered datasets that incorporate these recommendations.</w:t>
      </w:r>
    </w:p>
    <w:p w14:paraId="23499CEE" w14:textId="77777777" w:rsidR="00AC0BED" w:rsidRDefault="00AC0BED">
      <w:pPr>
        <w:pBdr>
          <w:top w:val="nil"/>
          <w:left w:val="nil"/>
          <w:bottom w:val="nil"/>
          <w:right w:val="nil"/>
          <w:between w:val="nil"/>
        </w:pBdr>
        <w:spacing w:line="259" w:lineRule="auto"/>
        <w:ind w:left="720"/>
        <w:rPr>
          <w:sz w:val="24"/>
          <w:szCs w:val="24"/>
          <w:highlight w:val="white"/>
        </w:rPr>
      </w:pPr>
    </w:p>
    <w:p w14:paraId="5A162C54" w14:textId="77777777" w:rsidR="00AC0BED" w:rsidRDefault="00BB0FD5">
      <w:pPr>
        <w:pBdr>
          <w:top w:val="nil"/>
          <w:left w:val="nil"/>
          <w:bottom w:val="nil"/>
          <w:right w:val="nil"/>
          <w:between w:val="nil"/>
        </w:pBdr>
        <w:spacing w:line="259" w:lineRule="auto"/>
        <w:ind w:left="720"/>
        <w:rPr>
          <w:sz w:val="24"/>
          <w:szCs w:val="24"/>
          <w:highlight w:val="white"/>
        </w:rPr>
      </w:pPr>
      <w:r>
        <w:rPr>
          <w:sz w:val="24"/>
          <w:szCs w:val="24"/>
          <w:highlight w:val="white"/>
        </w:rPr>
        <w:t xml:space="preserve">Below, we summarize the weaknesses we found from these checks in accordance with your listed criteria. We also provide other limitations based on our assumptions. </w:t>
      </w:r>
    </w:p>
    <w:p w14:paraId="1FAF7280" w14:textId="77777777" w:rsidR="00AC0BED" w:rsidRDefault="00AC0BED">
      <w:pPr>
        <w:pBdr>
          <w:top w:val="nil"/>
          <w:left w:val="nil"/>
          <w:bottom w:val="nil"/>
          <w:right w:val="nil"/>
          <w:between w:val="nil"/>
        </w:pBdr>
        <w:spacing w:line="259" w:lineRule="auto"/>
        <w:ind w:left="720"/>
        <w:rPr>
          <w:sz w:val="24"/>
          <w:szCs w:val="24"/>
          <w:highlight w:val="white"/>
        </w:rPr>
      </w:pPr>
    </w:p>
    <w:p w14:paraId="28C86621" w14:textId="77777777" w:rsidR="00AC0BED" w:rsidRDefault="00BB0FD5">
      <w:pPr>
        <w:spacing w:before="240" w:after="240" w:line="259" w:lineRule="auto"/>
        <w:ind w:left="720"/>
        <w:rPr>
          <w:sz w:val="24"/>
          <w:szCs w:val="24"/>
          <w:highlight w:val="white"/>
        </w:rPr>
      </w:pPr>
      <w:r>
        <w:rPr>
          <w:i/>
          <w:sz w:val="24"/>
          <w:szCs w:val="24"/>
          <w:highlight w:val="white"/>
        </w:rPr>
        <w:t>Potential Biases.</w:t>
      </w:r>
      <w:r>
        <w:rPr>
          <w:sz w:val="24"/>
          <w:szCs w:val="24"/>
          <w:highlight w:val="white"/>
        </w:rPr>
        <w:t xml:space="preserve"> Broad or heterogeneous SIC groupings (8211, 8221, 8299, 7999) and inclusion of Quebec‑only 8222 introduce systematic classification and regional biases—e.g., gambling or lottery outlets counted as “recreation,” campus sub‑buildings counted as separate institutions, and Quebec’s junior colleges inflating provincial education counts. </w:t>
      </w:r>
    </w:p>
    <w:p w14:paraId="2B02BA5C" w14:textId="77777777" w:rsidR="00AC0BED" w:rsidRDefault="00BB0FD5">
      <w:pPr>
        <w:spacing w:before="240" w:after="240" w:line="259" w:lineRule="auto"/>
        <w:ind w:left="720"/>
        <w:rPr>
          <w:sz w:val="24"/>
          <w:szCs w:val="24"/>
          <w:highlight w:val="white"/>
        </w:rPr>
      </w:pPr>
      <w:r>
        <w:rPr>
          <w:i/>
          <w:sz w:val="24"/>
          <w:szCs w:val="24"/>
          <w:highlight w:val="white"/>
        </w:rPr>
        <w:t xml:space="preserve">Overestimation. </w:t>
      </w:r>
      <w:r>
        <w:rPr>
          <w:sz w:val="24"/>
          <w:szCs w:val="24"/>
          <w:highlight w:val="white"/>
        </w:rPr>
        <w:t>Education resources are overstated by duplicated primary/secondary listings, fragmented postsecondary campuses (many buildings coded as separate colleges/universities), misclassified therapeutic or niche training sites (8299), gambling/lottery outlets inflating recreation (7999), and stacked or duplicate points when not collapsed.</w:t>
      </w:r>
    </w:p>
    <w:p w14:paraId="22B42202" w14:textId="77777777" w:rsidR="00AC0BED" w:rsidRDefault="00BB0FD5">
      <w:pPr>
        <w:spacing w:before="240" w:after="240" w:line="259" w:lineRule="auto"/>
        <w:ind w:left="720"/>
        <w:rPr>
          <w:sz w:val="24"/>
          <w:szCs w:val="24"/>
          <w:highlight w:val="white"/>
        </w:rPr>
      </w:pPr>
      <w:r>
        <w:rPr>
          <w:i/>
          <w:sz w:val="24"/>
          <w:szCs w:val="24"/>
          <w:highlight w:val="white"/>
        </w:rPr>
        <w:t>Omitted Variables/Information.</w:t>
      </w:r>
      <w:r>
        <w:rPr>
          <w:sz w:val="24"/>
          <w:szCs w:val="24"/>
          <w:highlight w:val="white"/>
        </w:rPr>
        <w:t xml:space="preserve"> The indicators omit qualitative and distal aspects (capacity, quality, suitability, proximity). </w:t>
      </w:r>
    </w:p>
    <w:p w14:paraId="73895E3F" w14:textId="77777777" w:rsidR="00AC0BED" w:rsidRDefault="00AC0BED">
      <w:pPr>
        <w:pBdr>
          <w:top w:val="nil"/>
          <w:left w:val="nil"/>
          <w:bottom w:val="nil"/>
          <w:right w:val="nil"/>
          <w:between w:val="nil"/>
        </w:pBdr>
        <w:spacing w:line="259" w:lineRule="auto"/>
        <w:ind w:left="720"/>
        <w:rPr>
          <w:b/>
          <w:color w:val="000000"/>
          <w:sz w:val="24"/>
          <w:szCs w:val="24"/>
        </w:rPr>
      </w:pPr>
    </w:p>
    <w:p w14:paraId="77F18793" w14:textId="77777777" w:rsidR="00AC0BED" w:rsidRDefault="00BB0FD5">
      <w:pPr>
        <w:numPr>
          <w:ilvl w:val="0"/>
          <w:numId w:val="5"/>
        </w:numPr>
        <w:pBdr>
          <w:top w:val="nil"/>
          <w:left w:val="nil"/>
          <w:bottom w:val="nil"/>
          <w:right w:val="nil"/>
          <w:between w:val="nil"/>
        </w:pBdr>
        <w:spacing w:line="259" w:lineRule="auto"/>
        <w:rPr>
          <w:b/>
          <w:color w:val="000000"/>
          <w:sz w:val="24"/>
          <w:szCs w:val="24"/>
        </w:rPr>
      </w:pPr>
      <w:r>
        <w:rPr>
          <w:b/>
          <w:color w:val="000000"/>
          <w:sz w:val="24"/>
          <w:szCs w:val="24"/>
        </w:rPr>
        <w:t>Does the indicator/model have other mathematical or computational versions (not syntax) to build it? (provide references)</w:t>
      </w:r>
    </w:p>
    <w:p w14:paraId="07EB19CD" w14:textId="77777777" w:rsidR="00AC0BED" w:rsidRDefault="00AC0BED">
      <w:pPr>
        <w:pBdr>
          <w:top w:val="nil"/>
          <w:left w:val="nil"/>
          <w:bottom w:val="nil"/>
          <w:right w:val="nil"/>
          <w:between w:val="nil"/>
        </w:pBdr>
        <w:spacing w:line="259" w:lineRule="auto"/>
        <w:ind w:left="360"/>
        <w:rPr>
          <w:b/>
          <w:sz w:val="24"/>
          <w:szCs w:val="24"/>
        </w:rPr>
      </w:pPr>
    </w:p>
    <w:p w14:paraId="614989A3" w14:textId="77777777" w:rsidR="00AC0BED" w:rsidRDefault="00BB0FD5">
      <w:pPr>
        <w:pBdr>
          <w:top w:val="nil"/>
          <w:left w:val="nil"/>
          <w:bottom w:val="nil"/>
          <w:right w:val="nil"/>
          <w:between w:val="nil"/>
        </w:pBdr>
        <w:spacing w:line="259" w:lineRule="auto"/>
        <w:ind w:left="792"/>
        <w:rPr>
          <w:sz w:val="24"/>
          <w:szCs w:val="24"/>
        </w:rPr>
      </w:pPr>
      <w:r>
        <w:rPr>
          <w:sz w:val="24"/>
          <w:szCs w:val="24"/>
        </w:rPr>
        <w:t xml:space="preserve">Yes, the Python programming language is used to build the indicator. Shapefiles containing point records with associated x/y coordinates and categorical information are first downloaded from Scholar’s </w:t>
      </w:r>
      <w:proofErr w:type="spellStart"/>
      <w:r>
        <w:rPr>
          <w:sz w:val="24"/>
          <w:szCs w:val="24"/>
        </w:rPr>
        <w:t>GeoPortal</w:t>
      </w:r>
      <w:proofErr w:type="spellEnd"/>
      <w:r>
        <w:rPr>
          <w:sz w:val="24"/>
          <w:szCs w:val="24"/>
        </w:rPr>
        <w:t xml:space="preserve">, as provided to the library by DMTI Spatial. Given a list of SIC codes corresponding to different types of FRSRs and an additional shapefile of census geography boundaries in (multi)polygon format, points corresponding to each code are selected and counted within each polygon of the boundary shapefile. The scripts provide a CSV file containing the </w:t>
      </w:r>
      <w:proofErr w:type="gramStart"/>
      <w:r>
        <w:rPr>
          <w:sz w:val="24"/>
          <w:szCs w:val="24"/>
        </w:rPr>
        <w:t>amount</w:t>
      </w:r>
      <w:proofErr w:type="gramEnd"/>
      <w:r>
        <w:rPr>
          <w:sz w:val="24"/>
          <w:szCs w:val="24"/>
        </w:rPr>
        <w:t xml:space="preserve"> of points corresponding to each FRSR category within each census geography polygon.</w:t>
      </w:r>
    </w:p>
    <w:p w14:paraId="5D322CF2" w14:textId="77777777" w:rsidR="00AC0BED" w:rsidRDefault="00AC0BED">
      <w:pPr>
        <w:pBdr>
          <w:top w:val="nil"/>
          <w:left w:val="nil"/>
          <w:bottom w:val="nil"/>
          <w:right w:val="nil"/>
          <w:between w:val="nil"/>
        </w:pBdr>
        <w:spacing w:line="259" w:lineRule="auto"/>
        <w:ind w:left="792"/>
        <w:rPr>
          <w:sz w:val="24"/>
          <w:szCs w:val="24"/>
        </w:rPr>
      </w:pPr>
    </w:p>
    <w:p w14:paraId="68F32DFB" w14:textId="77777777" w:rsidR="00AC0BED" w:rsidRDefault="00BB0FD5">
      <w:pPr>
        <w:pBdr>
          <w:top w:val="nil"/>
          <w:left w:val="nil"/>
          <w:bottom w:val="nil"/>
          <w:right w:val="nil"/>
          <w:between w:val="nil"/>
        </w:pBdr>
        <w:spacing w:line="259" w:lineRule="auto"/>
        <w:ind w:left="792"/>
        <w:rPr>
          <w:sz w:val="24"/>
          <w:szCs w:val="24"/>
          <w:highlight w:val="yellow"/>
        </w:rPr>
      </w:pPr>
      <w:r>
        <w:rPr>
          <w:sz w:val="24"/>
          <w:szCs w:val="24"/>
        </w:rPr>
        <w:t xml:space="preserve">We have attached the </w:t>
      </w:r>
      <w:hyperlink r:id="rId12">
        <w:r>
          <w:rPr>
            <w:color w:val="1155CC"/>
            <w:sz w:val="24"/>
            <w:szCs w:val="24"/>
            <w:u w:val="single"/>
          </w:rPr>
          <w:t xml:space="preserve">program </w:t>
        </w:r>
      </w:hyperlink>
      <w:r>
        <w:rPr>
          <w:sz w:val="24"/>
          <w:szCs w:val="24"/>
        </w:rPr>
        <w:t xml:space="preserve">for future researchers’ reference. </w:t>
      </w:r>
    </w:p>
    <w:p w14:paraId="5437EFDE" w14:textId="77777777" w:rsidR="00AC0BED" w:rsidRDefault="00AC0BED">
      <w:pPr>
        <w:pBdr>
          <w:top w:val="nil"/>
          <w:left w:val="nil"/>
          <w:bottom w:val="nil"/>
          <w:right w:val="nil"/>
          <w:between w:val="nil"/>
        </w:pBdr>
        <w:spacing w:line="259" w:lineRule="auto"/>
        <w:ind w:left="792"/>
        <w:rPr>
          <w:sz w:val="24"/>
          <w:szCs w:val="24"/>
        </w:rPr>
      </w:pPr>
    </w:p>
    <w:p w14:paraId="00F9F0E4" w14:textId="77777777" w:rsidR="00AC0BED" w:rsidRDefault="00BB0FD5">
      <w:pPr>
        <w:numPr>
          <w:ilvl w:val="1"/>
          <w:numId w:val="5"/>
        </w:numPr>
        <w:pBdr>
          <w:top w:val="nil"/>
          <w:left w:val="nil"/>
          <w:bottom w:val="nil"/>
          <w:right w:val="nil"/>
          <w:between w:val="nil"/>
        </w:pBdr>
        <w:spacing w:line="259" w:lineRule="auto"/>
        <w:rPr>
          <w:b/>
          <w:color w:val="000000"/>
          <w:sz w:val="24"/>
          <w:szCs w:val="24"/>
        </w:rPr>
      </w:pPr>
      <w:r>
        <w:rPr>
          <w:b/>
          <w:color w:val="000000"/>
          <w:sz w:val="24"/>
          <w:szCs w:val="24"/>
        </w:rPr>
        <w:lastRenderedPageBreak/>
        <w:t xml:space="preserve">Why are you building the indicator/model as you propose? Are there advantages </w:t>
      </w:r>
      <w:r>
        <w:rPr>
          <w:b/>
          <w:sz w:val="24"/>
          <w:szCs w:val="24"/>
        </w:rPr>
        <w:t>compared to</w:t>
      </w:r>
      <w:r>
        <w:rPr>
          <w:b/>
          <w:color w:val="000000"/>
          <w:sz w:val="24"/>
          <w:szCs w:val="24"/>
        </w:rPr>
        <w:t xml:space="preserve"> other versions?</w:t>
      </w:r>
    </w:p>
    <w:p w14:paraId="0F9B1B1F" w14:textId="77777777" w:rsidR="00AC0BED" w:rsidRDefault="00AC0BED">
      <w:pPr>
        <w:pBdr>
          <w:top w:val="nil"/>
          <w:left w:val="nil"/>
          <w:bottom w:val="nil"/>
          <w:right w:val="nil"/>
          <w:between w:val="nil"/>
        </w:pBdr>
        <w:spacing w:line="259" w:lineRule="auto"/>
        <w:ind w:left="792"/>
        <w:rPr>
          <w:b/>
          <w:sz w:val="24"/>
          <w:szCs w:val="24"/>
        </w:rPr>
      </w:pPr>
    </w:p>
    <w:p w14:paraId="4C6C21E5" w14:textId="77777777" w:rsidR="00AC0BED" w:rsidRDefault="00BB0FD5">
      <w:pPr>
        <w:pBdr>
          <w:top w:val="nil"/>
          <w:left w:val="nil"/>
          <w:bottom w:val="nil"/>
          <w:right w:val="nil"/>
          <w:between w:val="nil"/>
        </w:pBdr>
        <w:spacing w:line="259" w:lineRule="auto"/>
        <w:ind w:left="792"/>
        <w:rPr>
          <w:sz w:val="24"/>
          <w:szCs w:val="24"/>
        </w:rPr>
      </w:pPr>
      <w:r>
        <w:rPr>
          <w:sz w:val="24"/>
          <w:szCs w:val="24"/>
        </w:rPr>
        <w:t xml:space="preserve">There are several decisions made </w:t>
      </w:r>
      <w:proofErr w:type="spellStart"/>
      <w:r>
        <w:rPr>
          <w:sz w:val="24"/>
          <w:szCs w:val="24"/>
        </w:rPr>
        <w:t>apriori</w:t>
      </w:r>
      <w:proofErr w:type="spellEnd"/>
      <w:r>
        <w:rPr>
          <w:sz w:val="24"/>
          <w:szCs w:val="24"/>
        </w:rPr>
        <w:t xml:space="preserve"> in the construction of these indicators that we justify below: </w:t>
      </w:r>
    </w:p>
    <w:p w14:paraId="6B5D24EB" w14:textId="77777777" w:rsidR="00AC0BED" w:rsidRDefault="00BB0FD5">
      <w:pPr>
        <w:numPr>
          <w:ilvl w:val="0"/>
          <w:numId w:val="8"/>
        </w:numPr>
        <w:pBdr>
          <w:top w:val="nil"/>
          <w:left w:val="nil"/>
          <w:bottom w:val="nil"/>
          <w:right w:val="nil"/>
          <w:between w:val="nil"/>
        </w:pBdr>
        <w:spacing w:line="259" w:lineRule="auto"/>
        <w:rPr>
          <w:sz w:val="24"/>
          <w:szCs w:val="24"/>
        </w:rPr>
      </w:pPr>
      <w:r>
        <w:rPr>
          <w:i/>
          <w:sz w:val="24"/>
          <w:szCs w:val="24"/>
        </w:rPr>
        <w:t xml:space="preserve">The use of DMTI data. </w:t>
      </w:r>
      <w:r>
        <w:rPr>
          <w:sz w:val="24"/>
          <w:szCs w:val="24"/>
        </w:rPr>
        <w:t xml:space="preserve">These are the most comprehensive data for researcher access across Canada. These data are mapped using DMTI’s </w:t>
      </w:r>
      <w:proofErr w:type="spellStart"/>
      <w:r>
        <w:rPr>
          <w:sz w:val="24"/>
          <w:szCs w:val="24"/>
        </w:rPr>
        <w:t>CanMap</w:t>
      </w:r>
      <w:proofErr w:type="spellEnd"/>
      <w:r>
        <w:rPr>
          <w:sz w:val="24"/>
          <w:szCs w:val="24"/>
        </w:rPr>
        <w:t xml:space="preserve"> platform, ensuring accuracy and comprehensive coverage. It provides high-precision location-based datasets widely used in business, government, and academic research. The </w:t>
      </w:r>
      <w:proofErr w:type="spellStart"/>
      <w:r>
        <w:rPr>
          <w:sz w:val="24"/>
          <w:szCs w:val="24"/>
        </w:rPr>
        <w:t>CanMap</w:t>
      </w:r>
      <w:proofErr w:type="spellEnd"/>
      <w:r>
        <w:rPr>
          <w:sz w:val="24"/>
          <w:szCs w:val="24"/>
        </w:rPr>
        <w:t xml:space="preserve"> platform is refreshed quarterly for universities (via the Scholars </w:t>
      </w:r>
      <w:proofErr w:type="spellStart"/>
      <w:r>
        <w:rPr>
          <w:sz w:val="24"/>
          <w:szCs w:val="24"/>
        </w:rPr>
        <w:t>GeoPortal</w:t>
      </w:r>
      <w:proofErr w:type="spellEnd"/>
      <w:r>
        <w:rPr>
          <w:sz w:val="24"/>
          <w:szCs w:val="24"/>
        </w:rPr>
        <w:t xml:space="preserve"> licence) and monthly for enterprise users, giving rooftop-accurate layers that plug straight into ArcGIS, QGIS or Stata/GeoDa workflows. The upside for us and CSDUL is then quite apparent: instead of relying on coarse census proxies, we can model “real” community infrastructure at metre resolution.</w:t>
      </w:r>
    </w:p>
    <w:p w14:paraId="6F5E41E8" w14:textId="77777777" w:rsidR="00AC0BED" w:rsidRDefault="00BB0FD5">
      <w:pPr>
        <w:numPr>
          <w:ilvl w:val="0"/>
          <w:numId w:val="8"/>
        </w:numPr>
        <w:pBdr>
          <w:top w:val="nil"/>
          <w:left w:val="nil"/>
          <w:bottom w:val="nil"/>
          <w:right w:val="nil"/>
          <w:between w:val="nil"/>
        </w:pBdr>
        <w:spacing w:line="259" w:lineRule="auto"/>
        <w:rPr>
          <w:sz w:val="24"/>
          <w:szCs w:val="24"/>
        </w:rPr>
      </w:pPr>
      <w:r>
        <w:rPr>
          <w:i/>
          <w:sz w:val="24"/>
          <w:szCs w:val="24"/>
        </w:rPr>
        <w:t>The use of SIC codes versus other industry classification codes</w:t>
      </w:r>
      <w:r>
        <w:rPr>
          <w:sz w:val="24"/>
          <w:szCs w:val="24"/>
        </w:rPr>
        <w:t xml:space="preserve">. In our prior study, (Young et al. 2024) we found that EPOIs contained far fewer missing primary SIC codes than NAICS codes. We also found that many food and education locations appearing in the dataset, for example, lacked a NAICS code yet still had a valid SIC code, demonstrating that a NAICS‑only pull would have underrepresented actual on‑the‑ground resources. </w:t>
      </w:r>
    </w:p>
    <w:p w14:paraId="0E1348E9" w14:textId="77777777" w:rsidR="00AC0BED" w:rsidRDefault="00BB0FD5">
      <w:pPr>
        <w:numPr>
          <w:ilvl w:val="0"/>
          <w:numId w:val="8"/>
        </w:numPr>
        <w:pBdr>
          <w:top w:val="nil"/>
          <w:left w:val="nil"/>
          <w:bottom w:val="nil"/>
          <w:right w:val="nil"/>
          <w:between w:val="nil"/>
        </w:pBdr>
        <w:spacing w:line="259" w:lineRule="auto"/>
        <w:rPr>
          <w:sz w:val="24"/>
          <w:szCs w:val="24"/>
        </w:rPr>
      </w:pPr>
      <w:r>
        <w:rPr>
          <w:i/>
          <w:sz w:val="24"/>
          <w:szCs w:val="24"/>
        </w:rPr>
        <w:t xml:space="preserve">The distribution of raw counts of resources. </w:t>
      </w:r>
      <w:r>
        <w:rPr>
          <w:sz w:val="24"/>
          <w:szCs w:val="24"/>
        </w:rPr>
        <w:t xml:space="preserve">We provide recommendations above of how to alternately standardize the FRSR counts for comparison across the selected geographical boundaries. However, we leave those decisions to the researcher using the data and provide recommendations, only with the data in raw form. </w:t>
      </w:r>
    </w:p>
    <w:p w14:paraId="14E0CE37" w14:textId="77777777" w:rsidR="00AC0BED" w:rsidRDefault="00AC0BED">
      <w:pPr>
        <w:pBdr>
          <w:top w:val="nil"/>
          <w:left w:val="nil"/>
          <w:bottom w:val="nil"/>
          <w:right w:val="nil"/>
          <w:between w:val="nil"/>
        </w:pBdr>
        <w:spacing w:line="259" w:lineRule="auto"/>
        <w:ind w:left="792"/>
        <w:rPr>
          <w:color w:val="000000"/>
          <w:sz w:val="24"/>
          <w:szCs w:val="24"/>
        </w:rPr>
      </w:pPr>
    </w:p>
    <w:p w14:paraId="0F53D6F8" w14:textId="77777777" w:rsidR="00AC0BED" w:rsidRDefault="00BB0FD5">
      <w:pPr>
        <w:numPr>
          <w:ilvl w:val="0"/>
          <w:numId w:val="1"/>
        </w:numPr>
        <w:pBdr>
          <w:top w:val="nil"/>
          <w:left w:val="nil"/>
          <w:bottom w:val="nil"/>
          <w:right w:val="nil"/>
          <w:between w:val="nil"/>
        </w:pBdr>
        <w:spacing w:after="160" w:line="259" w:lineRule="auto"/>
        <w:rPr>
          <w:b/>
          <w:color w:val="000000"/>
          <w:sz w:val="24"/>
          <w:szCs w:val="24"/>
        </w:rPr>
      </w:pPr>
      <w:bookmarkStart w:id="1" w:name="_heading=h.30j0zll" w:colFirst="0" w:colLast="0"/>
      <w:bookmarkEnd w:id="1"/>
      <w:r>
        <w:rPr>
          <w:b/>
          <w:color w:val="000000"/>
          <w:sz w:val="24"/>
          <w:szCs w:val="24"/>
        </w:rPr>
        <w:t xml:space="preserve">Do you </w:t>
      </w:r>
      <w:r>
        <w:rPr>
          <w:b/>
          <w:sz w:val="24"/>
          <w:szCs w:val="24"/>
        </w:rPr>
        <w:t>see potential</w:t>
      </w:r>
      <w:r>
        <w:rPr>
          <w:b/>
          <w:color w:val="000000"/>
          <w:sz w:val="24"/>
          <w:szCs w:val="24"/>
        </w:rPr>
        <w:t xml:space="preserve"> improvements </w:t>
      </w:r>
      <w:r>
        <w:rPr>
          <w:b/>
          <w:sz w:val="24"/>
          <w:szCs w:val="24"/>
        </w:rPr>
        <w:t>for</w:t>
      </w:r>
      <w:r>
        <w:rPr>
          <w:b/>
          <w:color w:val="000000"/>
          <w:sz w:val="24"/>
          <w:szCs w:val="24"/>
        </w:rPr>
        <w:t xml:space="preserve"> the indicator/model? Th</w:t>
      </w:r>
      <w:r>
        <w:rPr>
          <w:b/>
          <w:sz w:val="24"/>
          <w:szCs w:val="24"/>
        </w:rPr>
        <w:t xml:space="preserve">is could involve </w:t>
      </w:r>
      <w:r>
        <w:rPr>
          <w:b/>
          <w:color w:val="000000"/>
          <w:sz w:val="24"/>
          <w:szCs w:val="24"/>
        </w:rPr>
        <w:t>using other datasets, refining calculations, or modifying assumptions, among others.</w:t>
      </w:r>
    </w:p>
    <w:p w14:paraId="1E6AAA68" w14:textId="77777777" w:rsidR="00AC0BED" w:rsidRDefault="00BB0FD5">
      <w:pPr>
        <w:pBdr>
          <w:top w:val="nil"/>
          <w:left w:val="nil"/>
          <w:bottom w:val="nil"/>
          <w:right w:val="nil"/>
          <w:between w:val="nil"/>
        </w:pBdr>
        <w:spacing w:after="160" w:line="259" w:lineRule="auto"/>
        <w:ind w:left="1080"/>
        <w:rPr>
          <w:sz w:val="24"/>
          <w:szCs w:val="24"/>
        </w:rPr>
      </w:pPr>
      <w:bookmarkStart w:id="2" w:name="_heading=h.uv7s65oct7he" w:colFirst="0" w:colLast="0"/>
      <w:bookmarkEnd w:id="2"/>
      <w:r>
        <w:rPr>
          <w:sz w:val="24"/>
          <w:szCs w:val="24"/>
        </w:rPr>
        <w:t xml:space="preserve">We note the following improvements could be undertaken to ensure greater validity of our FRSR indicator. </w:t>
      </w:r>
    </w:p>
    <w:p w14:paraId="7D18281A" w14:textId="77777777" w:rsidR="00AC0BED" w:rsidRDefault="00BB0FD5">
      <w:pPr>
        <w:numPr>
          <w:ilvl w:val="0"/>
          <w:numId w:val="7"/>
        </w:numPr>
        <w:pBdr>
          <w:top w:val="nil"/>
          <w:left w:val="nil"/>
          <w:bottom w:val="nil"/>
          <w:right w:val="nil"/>
          <w:between w:val="nil"/>
        </w:pBdr>
        <w:spacing w:line="259" w:lineRule="auto"/>
        <w:rPr>
          <w:sz w:val="24"/>
          <w:szCs w:val="24"/>
        </w:rPr>
      </w:pPr>
      <w:bookmarkStart w:id="3" w:name="_heading=h.c45g4fw97u98" w:colFirst="0" w:colLast="0"/>
      <w:bookmarkEnd w:id="3"/>
      <w:r>
        <w:rPr>
          <w:sz w:val="24"/>
          <w:szCs w:val="24"/>
        </w:rPr>
        <w:t xml:space="preserve">Additional </w:t>
      </w:r>
      <w:proofErr w:type="spellStart"/>
      <w:r>
        <w:rPr>
          <w:sz w:val="24"/>
          <w:szCs w:val="24"/>
        </w:rPr>
        <w:t>spotchecking</w:t>
      </w:r>
      <w:proofErr w:type="spellEnd"/>
      <w:r>
        <w:rPr>
          <w:sz w:val="24"/>
          <w:szCs w:val="24"/>
        </w:rPr>
        <w:t xml:space="preserve"> would be helpful as we add other SIC codes as indicators. </w:t>
      </w:r>
    </w:p>
    <w:p w14:paraId="22C762DC" w14:textId="77777777" w:rsidR="00AC0BED" w:rsidRDefault="00BB0FD5">
      <w:pPr>
        <w:numPr>
          <w:ilvl w:val="0"/>
          <w:numId w:val="7"/>
        </w:numPr>
        <w:pBdr>
          <w:top w:val="nil"/>
          <w:left w:val="nil"/>
          <w:bottom w:val="nil"/>
          <w:right w:val="nil"/>
          <w:between w:val="nil"/>
        </w:pBdr>
        <w:spacing w:line="259" w:lineRule="auto"/>
        <w:rPr>
          <w:sz w:val="24"/>
          <w:szCs w:val="24"/>
        </w:rPr>
      </w:pPr>
      <w:bookmarkStart w:id="4" w:name="_heading=h.3xhv9ebrmb45" w:colFirst="0" w:colLast="0"/>
      <w:bookmarkEnd w:id="4"/>
      <w:r>
        <w:rPr>
          <w:sz w:val="24"/>
          <w:szCs w:val="24"/>
        </w:rPr>
        <w:t xml:space="preserve">Secondary validations of proximity of resources to residents based on alternate data sources could be undertaken (i.e., case studies of certain census tracts). Following from these secondary sets of analyses, an average “error term” could be incorporated into the FRSR indicators to correct for distance / proximity of residents to a given resource. </w:t>
      </w:r>
    </w:p>
    <w:p w14:paraId="56285DAC" w14:textId="77777777" w:rsidR="00AC0BED" w:rsidRDefault="00BB0FD5">
      <w:pPr>
        <w:numPr>
          <w:ilvl w:val="0"/>
          <w:numId w:val="7"/>
        </w:numPr>
        <w:spacing w:line="259" w:lineRule="auto"/>
        <w:rPr>
          <w:sz w:val="24"/>
          <w:szCs w:val="24"/>
        </w:rPr>
      </w:pPr>
      <w:bookmarkStart w:id="5" w:name="_heading=h.ice6pzxykywm" w:colFirst="0" w:colLast="0"/>
      <w:bookmarkEnd w:id="5"/>
      <w:r>
        <w:rPr>
          <w:sz w:val="24"/>
          <w:szCs w:val="24"/>
        </w:rPr>
        <w:t>When modelling these indicators with individual-level resident data, incorporate FRSR from contiguous (adjacent) neighbourhoods, since residents’ effective proximity to resources often extends beyond the boundaries of their own census tract and may depend on amenities located just across a tract line.</w:t>
      </w:r>
    </w:p>
    <w:p w14:paraId="659E81D3" w14:textId="77777777" w:rsidR="00AC0BED" w:rsidRDefault="00BB0FD5">
      <w:pPr>
        <w:numPr>
          <w:ilvl w:val="0"/>
          <w:numId w:val="7"/>
        </w:numPr>
        <w:rPr>
          <w:sz w:val="24"/>
          <w:szCs w:val="24"/>
        </w:rPr>
      </w:pPr>
      <w:bookmarkStart w:id="6" w:name="_heading=h.cawx0bgc35ub" w:colFirst="0" w:colLast="0"/>
      <w:bookmarkEnd w:id="6"/>
      <w:r>
        <w:rPr>
          <w:sz w:val="24"/>
          <w:szCs w:val="24"/>
        </w:rPr>
        <w:t>The 2014 data are missing from DMTI Spatial Inc. After inquiring, it appears they simply didn’t collect data this year. It might make sense to average the values from 2013 and 2015 to get counts for 2014 across the FRSR.</w:t>
      </w:r>
    </w:p>
    <w:p w14:paraId="0CE75C8A" w14:textId="77777777" w:rsidR="00AC0BED" w:rsidRDefault="00BB0FD5">
      <w:pPr>
        <w:numPr>
          <w:ilvl w:val="0"/>
          <w:numId w:val="7"/>
        </w:numPr>
        <w:rPr>
          <w:sz w:val="24"/>
          <w:szCs w:val="24"/>
        </w:rPr>
      </w:pPr>
      <w:r>
        <w:rPr>
          <w:sz w:val="24"/>
          <w:szCs w:val="24"/>
        </w:rPr>
        <w:t>Duplicate entries have been removed, with deduplication based solely on address remaining under consideration as some sites may host multiple distinct resources, found in overcounts for SIC 8221 (postsecondary institutions).</w:t>
      </w:r>
    </w:p>
    <w:p w14:paraId="22D5C84A" w14:textId="77777777" w:rsidR="00AC0BED" w:rsidRDefault="00BB0FD5">
      <w:pPr>
        <w:numPr>
          <w:ilvl w:val="0"/>
          <w:numId w:val="7"/>
        </w:numPr>
        <w:rPr>
          <w:sz w:val="24"/>
          <w:szCs w:val="24"/>
        </w:rPr>
      </w:pPr>
      <w:r>
        <w:rPr>
          <w:sz w:val="24"/>
          <w:szCs w:val="24"/>
        </w:rPr>
        <w:t>As well, keyword-based filters have been introduced for SIC 7999, with points containing “lottery” or “lotto” excluded to prevent the conflation of gambling-related services with socially beneficial recreation.</w:t>
      </w:r>
    </w:p>
    <w:p w14:paraId="7E719486" w14:textId="77777777" w:rsidR="00AC0BED" w:rsidRDefault="00BB0FD5">
      <w:pPr>
        <w:numPr>
          <w:ilvl w:val="0"/>
          <w:numId w:val="7"/>
        </w:numPr>
        <w:rPr>
          <w:sz w:val="24"/>
          <w:szCs w:val="24"/>
        </w:rPr>
      </w:pPr>
      <w:r>
        <w:rPr>
          <w:sz w:val="24"/>
          <w:szCs w:val="24"/>
        </w:rPr>
        <w:lastRenderedPageBreak/>
        <w:t>Further refinement is to be explored for SIC 8299, where misclassified therapeutic clinics (e.g., massage or RMT providers) may inflate these counts. Manual review may be needed to ensure valid count retainment if key-word filters are to be introduced.</w:t>
      </w:r>
    </w:p>
    <w:p w14:paraId="665BCA1E" w14:textId="77777777" w:rsidR="00AC0BED" w:rsidRDefault="00BB0FD5">
      <w:pPr>
        <w:numPr>
          <w:ilvl w:val="0"/>
          <w:numId w:val="7"/>
        </w:numPr>
        <w:rPr>
          <w:sz w:val="24"/>
          <w:szCs w:val="24"/>
        </w:rPr>
      </w:pPr>
      <w:bookmarkStart w:id="7" w:name="_heading=h.sdzyvprjlb0d" w:colFirst="0" w:colLast="0"/>
      <w:bookmarkEnd w:id="7"/>
      <w:r>
        <w:rPr>
          <w:sz w:val="24"/>
          <w:szCs w:val="24"/>
        </w:rPr>
        <w:t>As well, unique to the province of Quebec, SIC 8222 has been retained as having educational resources when aggregated according to the FSFR paper’s classifications. Due to this regional specificity, flagging or excluding this SIC from national composite indices may be of interest.</w:t>
      </w:r>
    </w:p>
    <w:p w14:paraId="6A65E166" w14:textId="77777777" w:rsidR="00AC0BED" w:rsidRDefault="00AC0BED">
      <w:pPr>
        <w:spacing w:after="240" w:line="259" w:lineRule="auto"/>
        <w:rPr>
          <w:sz w:val="24"/>
          <w:szCs w:val="24"/>
        </w:rPr>
      </w:pPr>
      <w:bookmarkStart w:id="8" w:name="_heading=h.h5npg7kftsje" w:colFirst="0" w:colLast="0"/>
      <w:bookmarkEnd w:id="8"/>
    </w:p>
    <w:p w14:paraId="6184F399" w14:textId="77777777" w:rsidR="00AC0BED" w:rsidRDefault="00AC0BED">
      <w:pPr>
        <w:spacing w:after="240" w:line="259" w:lineRule="auto"/>
        <w:ind w:left="720"/>
        <w:rPr>
          <w:sz w:val="24"/>
          <w:szCs w:val="24"/>
        </w:rPr>
      </w:pPr>
      <w:bookmarkStart w:id="9" w:name="_heading=h.2idv5xm76y75" w:colFirst="0" w:colLast="0"/>
      <w:bookmarkEnd w:id="9"/>
    </w:p>
    <w:p w14:paraId="448223DA" w14:textId="77777777" w:rsidR="00AC0BED" w:rsidRDefault="00AC0BED">
      <w:pPr>
        <w:spacing w:after="240" w:line="259" w:lineRule="auto"/>
        <w:ind w:left="720"/>
        <w:rPr>
          <w:sz w:val="24"/>
          <w:szCs w:val="24"/>
        </w:rPr>
      </w:pPr>
      <w:bookmarkStart w:id="10" w:name="_heading=h.daa82xmt2m0q" w:colFirst="0" w:colLast="0"/>
      <w:bookmarkEnd w:id="10"/>
    </w:p>
    <w:p w14:paraId="4FA631EB" w14:textId="77777777" w:rsidR="00AC0BED" w:rsidRDefault="00AC0BED">
      <w:pPr>
        <w:spacing w:after="240" w:line="259" w:lineRule="auto"/>
        <w:ind w:left="720"/>
        <w:rPr>
          <w:sz w:val="24"/>
          <w:szCs w:val="24"/>
        </w:rPr>
      </w:pPr>
      <w:bookmarkStart w:id="11" w:name="_heading=h.828ekbnrt35n" w:colFirst="0" w:colLast="0"/>
      <w:bookmarkEnd w:id="11"/>
    </w:p>
    <w:p w14:paraId="35D5E867" w14:textId="77777777" w:rsidR="00AC0BED" w:rsidRDefault="00AC0BED">
      <w:pPr>
        <w:spacing w:after="240" w:line="259" w:lineRule="auto"/>
        <w:ind w:left="720"/>
        <w:rPr>
          <w:sz w:val="24"/>
          <w:szCs w:val="24"/>
        </w:rPr>
      </w:pPr>
      <w:bookmarkStart w:id="12" w:name="_heading=h.27vk9i9kyj9m" w:colFirst="0" w:colLast="0"/>
      <w:bookmarkEnd w:id="12"/>
    </w:p>
    <w:p w14:paraId="6A417DB3" w14:textId="77777777" w:rsidR="00AC0BED" w:rsidRDefault="00AC0BED">
      <w:pPr>
        <w:pBdr>
          <w:top w:val="nil"/>
          <w:left w:val="nil"/>
          <w:bottom w:val="nil"/>
          <w:right w:val="nil"/>
          <w:between w:val="nil"/>
        </w:pBdr>
        <w:spacing w:after="160" w:line="259" w:lineRule="auto"/>
        <w:ind w:left="1440"/>
        <w:rPr>
          <w:b/>
          <w:sz w:val="24"/>
          <w:szCs w:val="24"/>
        </w:rPr>
      </w:pPr>
    </w:p>
    <w:p w14:paraId="6D802466" w14:textId="77777777" w:rsidR="00AC0BED" w:rsidRDefault="00AC0BED">
      <w:pPr>
        <w:rPr>
          <w:color w:val="000000"/>
          <w:sz w:val="24"/>
          <w:szCs w:val="24"/>
        </w:rPr>
      </w:pPr>
    </w:p>
    <w:p w14:paraId="68015E3B" w14:textId="77777777" w:rsidR="00AC0BED" w:rsidRDefault="00BB0FD5">
      <w:pPr>
        <w:rPr>
          <w:rFonts w:ascii="Calibri" w:eastAsia="Calibri" w:hAnsi="Calibri" w:cs="Calibri"/>
          <w:b/>
          <w:color w:val="C00000"/>
          <w:sz w:val="24"/>
          <w:szCs w:val="24"/>
        </w:rPr>
      </w:pPr>
      <w:r>
        <w:rPr>
          <w:rFonts w:ascii="Calibri" w:eastAsia="Calibri" w:hAnsi="Calibri" w:cs="Calibri"/>
          <w:b/>
          <w:color w:val="C00000"/>
          <w:sz w:val="24"/>
          <w:szCs w:val="24"/>
        </w:rPr>
        <w:t>What inputs are to be added to CSDUL? Write “X”</w:t>
      </w:r>
    </w:p>
    <w:tbl>
      <w:tblPr>
        <w:tblStyle w:val="a4"/>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9"/>
        <w:gridCol w:w="9413"/>
      </w:tblGrid>
      <w:tr w:rsidR="00AC0BED" w14:paraId="0F55B087" w14:textId="77777777">
        <w:tc>
          <w:tcPr>
            <w:tcW w:w="549" w:type="dxa"/>
            <w:vAlign w:val="center"/>
          </w:tcPr>
          <w:p w14:paraId="1788DCF8" w14:textId="77777777" w:rsidR="00AC0BED" w:rsidRDefault="00BB0FD5">
            <w:pPr>
              <w:rPr>
                <w:b/>
                <w:color w:val="000000"/>
                <w:sz w:val="24"/>
                <w:szCs w:val="24"/>
              </w:rPr>
            </w:pPr>
            <w:r>
              <w:rPr>
                <w:b/>
                <w:sz w:val="24"/>
                <w:szCs w:val="24"/>
              </w:rPr>
              <w:t>X</w:t>
            </w:r>
          </w:p>
        </w:tc>
        <w:tc>
          <w:tcPr>
            <w:tcW w:w="9413" w:type="dxa"/>
            <w:vAlign w:val="center"/>
          </w:tcPr>
          <w:p w14:paraId="7891E045" w14:textId="77777777" w:rsidR="00AC0BED" w:rsidRDefault="00BB0FD5">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Raw or intermediate datasets </w:t>
            </w:r>
            <w:r>
              <w:rPr>
                <w:rFonts w:ascii="Times New Roman" w:eastAsia="Times New Roman" w:hAnsi="Times New Roman" w:cs="Times New Roman"/>
                <w:sz w:val="24"/>
                <w:szCs w:val="24"/>
              </w:rPr>
              <w:t>required</w:t>
            </w:r>
            <w:r>
              <w:rPr>
                <w:rFonts w:ascii="Times New Roman" w:eastAsia="Times New Roman" w:hAnsi="Times New Roman" w:cs="Times New Roman"/>
                <w:color w:val="000000"/>
                <w:sz w:val="24"/>
                <w:szCs w:val="24"/>
              </w:rPr>
              <w:t xml:space="preserve"> to create the indicator/model.</w:t>
            </w:r>
          </w:p>
        </w:tc>
      </w:tr>
      <w:tr w:rsidR="00AC0BED" w14:paraId="2958EF97" w14:textId="77777777">
        <w:tc>
          <w:tcPr>
            <w:tcW w:w="549" w:type="dxa"/>
            <w:vAlign w:val="center"/>
          </w:tcPr>
          <w:p w14:paraId="6561EF73" w14:textId="77777777" w:rsidR="00AC0BED" w:rsidRDefault="00BB0FD5">
            <w:pPr>
              <w:rPr>
                <w:b/>
                <w:color w:val="000000"/>
                <w:sz w:val="24"/>
                <w:szCs w:val="24"/>
              </w:rPr>
            </w:pPr>
            <w:r>
              <w:rPr>
                <w:b/>
                <w:sz w:val="24"/>
                <w:szCs w:val="24"/>
              </w:rPr>
              <w:t>X</w:t>
            </w:r>
          </w:p>
        </w:tc>
        <w:tc>
          <w:tcPr>
            <w:tcW w:w="9413" w:type="dxa"/>
            <w:vAlign w:val="center"/>
          </w:tcPr>
          <w:p w14:paraId="792C08C2" w14:textId="77777777" w:rsidR="00AC0BED" w:rsidRDefault="00BB0FD5">
            <w:pPr>
              <w:pBdr>
                <w:top w:val="nil"/>
                <w:left w:val="nil"/>
                <w:bottom w:val="nil"/>
                <w:right w:val="nil"/>
                <w:between w:val="nil"/>
              </w:pBdr>
              <w:spacing w:after="160" w:line="259"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Codes that create the indicator/model (</w:t>
            </w:r>
            <w:r>
              <w:rPr>
                <w:rFonts w:ascii="Times New Roman" w:eastAsia="Times New Roman" w:hAnsi="Times New Roman" w:cs="Times New Roman"/>
                <w:sz w:val="24"/>
                <w:szCs w:val="24"/>
              </w:rPr>
              <w:t>b</w:t>
            </w:r>
            <w:r>
              <w:rPr>
                <w:rFonts w:ascii="Times New Roman" w:eastAsia="Times New Roman" w:hAnsi="Times New Roman" w:cs="Times New Roman"/>
                <w:color w:val="000000"/>
                <w:sz w:val="24"/>
                <w:szCs w:val="24"/>
              </w:rPr>
              <w:t xml:space="preserve">e sure that your code is clear enough to be replicated in the future for yourself or any other researcher). </w:t>
            </w:r>
          </w:p>
        </w:tc>
      </w:tr>
      <w:tr w:rsidR="00AC0BED" w14:paraId="74541CE0" w14:textId="77777777">
        <w:tc>
          <w:tcPr>
            <w:tcW w:w="549" w:type="dxa"/>
            <w:vAlign w:val="center"/>
          </w:tcPr>
          <w:p w14:paraId="53EC4A19" w14:textId="77777777" w:rsidR="00AC0BED" w:rsidRDefault="00BB0FD5">
            <w:pPr>
              <w:rPr>
                <w:b/>
                <w:color w:val="000000"/>
                <w:sz w:val="24"/>
                <w:szCs w:val="24"/>
              </w:rPr>
            </w:pPr>
            <w:r>
              <w:rPr>
                <w:b/>
                <w:sz w:val="24"/>
                <w:szCs w:val="24"/>
              </w:rPr>
              <w:t>X</w:t>
            </w:r>
          </w:p>
        </w:tc>
        <w:tc>
          <w:tcPr>
            <w:tcW w:w="9413" w:type="dxa"/>
            <w:vAlign w:val="center"/>
          </w:tcPr>
          <w:p w14:paraId="2AE37D8C" w14:textId="77777777" w:rsidR="00AC0BED" w:rsidRDefault="00BB0FD5">
            <w:pPr>
              <w:pBdr>
                <w:top w:val="nil"/>
                <w:left w:val="nil"/>
                <w:bottom w:val="nil"/>
                <w:right w:val="nil"/>
                <w:between w:val="nil"/>
              </w:pBdr>
              <w:spacing w:after="160" w:line="259"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Documentation that explains step by step the entire process that builds the indicator or model. </w:t>
            </w:r>
          </w:p>
        </w:tc>
      </w:tr>
      <w:tr w:rsidR="00AC0BED" w14:paraId="05FE0F4A" w14:textId="77777777">
        <w:tc>
          <w:tcPr>
            <w:tcW w:w="549" w:type="dxa"/>
            <w:vAlign w:val="center"/>
          </w:tcPr>
          <w:p w14:paraId="59E4C658" w14:textId="77777777" w:rsidR="00AC0BED" w:rsidRDefault="00BB0FD5">
            <w:pPr>
              <w:rPr>
                <w:b/>
                <w:color w:val="000000"/>
                <w:sz w:val="24"/>
                <w:szCs w:val="24"/>
              </w:rPr>
            </w:pPr>
            <w:r>
              <w:rPr>
                <w:b/>
                <w:sz w:val="24"/>
                <w:szCs w:val="24"/>
              </w:rPr>
              <w:t>X</w:t>
            </w:r>
          </w:p>
        </w:tc>
        <w:tc>
          <w:tcPr>
            <w:tcW w:w="9413" w:type="dxa"/>
            <w:vAlign w:val="center"/>
          </w:tcPr>
          <w:p w14:paraId="3899F94F" w14:textId="77777777" w:rsidR="00AC0BED" w:rsidRDefault="00BB0FD5">
            <w:pPr>
              <w:pBdr>
                <w:top w:val="nil"/>
                <w:left w:val="nil"/>
                <w:bottom w:val="nil"/>
                <w:right w:val="nil"/>
                <w:between w:val="nil"/>
              </w:pBdr>
              <w:spacing w:after="160" w:line="259"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Results, which consist of the list of variables, indicators, or model results. </w:t>
            </w:r>
          </w:p>
        </w:tc>
      </w:tr>
      <w:tr w:rsidR="00AC0BED" w14:paraId="16ACBB14" w14:textId="77777777">
        <w:tc>
          <w:tcPr>
            <w:tcW w:w="549" w:type="dxa"/>
            <w:vAlign w:val="center"/>
          </w:tcPr>
          <w:p w14:paraId="7E9D3736" w14:textId="77777777" w:rsidR="00AC0BED" w:rsidRDefault="00BB0FD5">
            <w:pPr>
              <w:rPr>
                <w:b/>
                <w:color w:val="000000"/>
                <w:sz w:val="24"/>
                <w:szCs w:val="24"/>
              </w:rPr>
            </w:pPr>
            <w:r>
              <w:rPr>
                <w:b/>
                <w:sz w:val="24"/>
                <w:szCs w:val="24"/>
              </w:rPr>
              <w:t>X</w:t>
            </w:r>
          </w:p>
        </w:tc>
        <w:tc>
          <w:tcPr>
            <w:tcW w:w="9413" w:type="dxa"/>
            <w:vAlign w:val="center"/>
          </w:tcPr>
          <w:p w14:paraId="705C0EB2" w14:textId="77777777" w:rsidR="00AC0BED" w:rsidRDefault="00BB0FD5">
            <w:pPr>
              <w:pBdr>
                <w:top w:val="nil"/>
                <w:left w:val="nil"/>
                <w:bottom w:val="nil"/>
                <w:right w:val="nil"/>
                <w:between w:val="nil"/>
              </w:pBdr>
              <w:spacing w:after="160" w:line="259"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Support files. They can be papers, chapter books, codes, etc.</w:t>
            </w:r>
          </w:p>
        </w:tc>
      </w:tr>
    </w:tbl>
    <w:p w14:paraId="7B919DD7" w14:textId="77777777" w:rsidR="00AC0BED" w:rsidRDefault="00AC0BED">
      <w:pPr>
        <w:rPr>
          <w:rFonts w:ascii="Calibri" w:eastAsia="Calibri" w:hAnsi="Calibri" w:cs="Calibri"/>
          <w:b/>
          <w:color w:val="000000"/>
          <w:sz w:val="24"/>
          <w:szCs w:val="24"/>
        </w:rPr>
      </w:pPr>
    </w:p>
    <w:p w14:paraId="1C614E6C" w14:textId="77777777" w:rsidR="00AC0BED" w:rsidRDefault="00BB0FD5">
      <w:pPr>
        <w:spacing w:after="160" w:line="259" w:lineRule="auto"/>
        <w:rPr>
          <w:rFonts w:ascii="Calibri" w:eastAsia="Calibri" w:hAnsi="Calibri" w:cs="Calibri"/>
          <w:b/>
          <w:color w:val="000000"/>
          <w:sz w:val="24"/>
          <w:szCs w:val="24"/>
        </w:rPr>
      </w:pPr>
      <w:r>
        <w:br w:type="page"/>
      </w:r>
    </w:p>
    <w:p w14:paraId="5C0A4EE3" w14:textId="77777777" w:rsidR="00AC0BED" w:rsidRDefault="00AC0BED">
      <w:pPr>
        <w:rPr>
          <w:rFonts w:ascii="Calibri" w:eastAsia="Calibri" w:hAnsi="Calibri" w:cs="Calibri"/>
          <w:b/>
          <w:color w:val="000000"/>
          <w:sz w:val="24"/>
          <w:szCs w:val="24"/>
        </w:rPr>
      </w:pPr>
    </w:p>
    <w:p w14:paraId="12814983" w14:textId="77777777" w:rsidR="00AC0BED" w:rsidRDefault="00BB0FD5">
      <w:pPr>
        <w:rPr>
          <w:rFonts w:ascii="Calibri" w:eastAsia="Calibri" w:hAnsi="Calibri" w:cs="Calibri"/>
          <w:sz w:val="22"/>
          <w:szCs w:val="22"/>
        </w:rPr>
      </w:pPr>
      <w:r>
        <w:rPr>
          <w:rFonts w:ascii="Calibri" w:eastAsia="Calibri" w:hAnsi="Calibri" w:cs="Calibri"/>
          <w:b/>
          <w:color w:val="000000"/>
          <w:sz w:val="24"/>
          <w:szCs w:val="24"/>
        </w:rPr>
        <w:t>References</w:t>
      </w:r>
    </w:p>
    <w:p w14:paraId="04EDE16A" w14:textId="77777777" w:rsidR="00AC0BED" w:rsidRDefault="00BB0FD5">
      <w:pPr>
        <w:rPr>
          <w:sz w:val="22"/>
          <w:szCs w:val="22"/>
        </w:rPr>
      </w:pPr>
      <w:r>
        <w:rPr>
          <w:sz w:val="22"/>
          <w:szCs w:val="22"/>
        </w:rPr>
        <w:t xml:space="preserve">Klinenberg, E. (2018). </w:t>
      </w:r>
      <w:r>
        <w:rPr>
          <w:i/>
          <w:sz w:val="22"/>
          <w:szCs w:val="22"/>
        </w:rPr>
        <w:t>Palaces for the People</w:t>
      </w:r>
      <w:r>
        <w:rPr>
          <w:sz w:val="22"/>
          <w:szCs w:val="22"/>
        </w:rPr>
        <w:t xml:space="preserve">. Crown. </w:t>
      </w:r>
    </w:p>
    <w:p w14:paraId="34ED432D" w14:textId="77777777" w:rsidR="00AC0BED" w:rsidRDefault="00BB0FD5">
      <w:pPr>
        <w:spacing w:before="240" w:after="240"/>
        <w:rPr>
          <w:sz w:val="22"/>
          <w:szCs w:val="22"/>
        </w:rPr>
      </w:pPr>
      <w:r>
        <w:rPr>
          <w:sz w:val="22"/>
          <w:szCs w:val="22"/>
        </w:rPr>
        <w:t xml:space="preserve">Young, Marisa, Sean Leipe, and Diana Singh. 2023. “Best Practices for Measuring Community Characteristics Across Canada.” </w:t>
      </w:r>
      <w:r>
        <w:rPr>
          <w:i/>
          <w:sz w:val="22"/>
          <w:szCs w:val="22"/>
        </w:rPr>
        <w:t>Canadian Geographer, 68</w:t>
      </w:r>
      <w:r>
        <w:rPr>
          <w:sz w:val="22"/>
          <w:szCs w:val="22"/>
        </w:rPr>
        <w:t xml:space="preserve">(1): 115-28.  </w:t>
      </w:r>
    </w:p>
    <w:p w14:paraId="0D36DA83" w14:textId="77777777" w:rsidR="00AC0BED" w:rsidRDefault="00BB0FD5">
      <w:pPr>
        <w:spacing w:before="240" w:after="240"/>
        <w:rPr>
          <w:sz w:val="22"/>
          <w:szCs w:val="22"/>
        </w:rPr>
      </w:pPr>
      <w:r>
        <w:rPr>
          <w:sz w:val="22"/>
          <w:szCs w:val="22"/>
        </w:rPr>
        <w:t xml:space="preserve">Young, Marisa and Diana Singh. 2024. “The Canadian Family-Friendly Community Resources for Better Balance, Health and Well-Being Study.” </w:t>
      </w:r>
      <w:r>
        <w:rPr>
          <w:i/>
          <w:sz w:val="22"/>
          <w:szCs w:val="22"/>
        </w:rPr>
        <w:t>Community, Work &amp; Family, 27</w:t>
      </w:r>
      <w:r>
        <w:rPr>
          <w:sz w:val="22"/>
          <w:szCs w:val="22"/>
        </w:rPr>
        <w:t xml:space="preserve">(4): 472-98. </w:t>
      </w:r>
    </w:p>
    <w:p w14:paraId="0C6979CF" w14:textId="77777777" w:rsidR="00AC0BED" w:rsidRDefault="00AC0BED">
      <w:pPr>
        <w:rPr>
          <w:rFonts w:ascii="Calibri" w:eastAsia="Calibri" w:hAnsi="Calibri" w:cs="Calibri"/>
          <w:sz w:val="22"/>
          <w:szCs w:val="22"/>
        </w:rPr>
      </w:pPr>
    </w:p>
    <w:sectPr w:rsidR="00AC0BED">
      <w:headerReference w:type="first" r:id="rId13"/>
      <w:pgSz w:w="12240" w:h="15840"/>
      <w:pgMar w:top="306" w:right="1134" w:bottom="873" w:left="1134" w:header="270"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5908AB" w14:textId="77777777" w:rsidR="00D16436" w:rsidRDefault="00D16436">
      <w:r>
        <w:separator/>
      </w:r>
    </w:p>
  </w:endnote>
  <w:endnote w:type="continuationSeparator" w:id="0">
    <w:p w14:paraId="302837A0" w14:textId="77777777" w:rsidR="00D16436" w:rsidRDefault="00D16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1" w:fontKey="{B874E9D6-FE94-4DC7-91E9-A5AAA86AA145}"/>
  </w:font>
  <w:font w:name="Aptos Display">
    <w:charset w:val="00"/>
    <w:family w:val="swiss"/>
    <w:pitch w:val="variable"/>
    <w:sig w:usb0="20000287" w:usb1="00000003" w:usb2="00000000" w:usb3="00000000" w:csb0="0000019F" w:csb1="00000000"/>
    <w:embedRegular r:id="rId2" w:fontKey="{F2176D66-D939-4A8D-92BC-5A8F340820D4}"/>
  </w:font>
  <w:font w:name="Calibri">
    <w:panose1 w:val="020F0502020204030204"/>
    <w:charset w:val="00"/>
    <w:family w:val="swiss"/>
    <w:pitch w:val="variable"/>
    <w:sig w:usb0="E4002EFF" w:usb1="C200247B" w:usb2="00000009" w:usb3="00000000" w:csb0="000001FF" w:csb1="00000000"/>
    <w:embedRegular r:id="rId3" w:fontKey="{74351869-5601-4FF4-AD19-A73B336EEB58}"/>
    <w:embedBold r:id="rId4" w:fontKey="{AB6D09F8-09BA-4060-B5B4-40AFCC3CD840}"/>
  </w:font>
  <w:font w:name="Aptos">
    <w:charset w:val="00"/>
    <w:family w:val="swiss"/>
    <w:pitch w:val="variable"/>
    <w:sig w:usb0="20000287" w:usb1="00000003" w:usb2="00000000" w:usb3="00000000" w:csb0="0000019F" w:csb1="00000000"/>
    <w:embedRegular r:id="rId5" w:fontKey="{F2185A6E-2C2D-4EB4-90E9-B6CAB092C0E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A145E" w14:textId="77777777" w:rsidR="00D16436" w:rsidRDefault="00D16436">
      <w:r>
        <w:separator/>
      </w:r>
    </w:p>
  </w:footnote>
  <w:footnote w:type="continuationSeparator" w:id="0">
    <w:p w14:paraId="409514E4" w14:textId="77777777" w:rsidR="00D16436" w:rsidRDefault="00D16436">
      <w:r>
        <w:continuationSeparator/>
      </w:r>
    </w:p>
  </w:footnote>
  <w:footnote w:id="1">
    <w:p w14:paraId="57671923" w14:textId="77777777" w:rsidR="00BC27DD" w:rsidRPr="00BC27DD" w:rsidRDefault="00BC27DD" w:rsidP="00BC27DD">
      <w:pPr>
        <w:pStyle w:val="FootnoteText"/>
        <w:rPr>
          <w:lang w:val="en-US"/>
        </w:rPr>
      </w:pPr>
      <w:r w:rsidRPr="00BC27DD">
        <w:rPr>
          <w:rStyle w:val="FootnoteReference"/>
        </w:rPr>
        <w:footnoteRef/>
      </w:r>
      <w:r w:rsidRPr="00BC27DD">
        <w:t xml:space="preserve"> </w:t>
      </w:r>
      <w:r w:rsidRPr="00BC27DD">
        <w:rPr>
          <w:lang w:val="en-US"/>
        </w:rPr>
        <w:t>COFOG has a hierarchical coding structure with three levels:</w:t>
      </w:r>
    </w:p>
    <w:p w14:paraId="293C4096" w14:textId="77777777" w:rsidR="00BC27DD" w:rsidRPr="00BC27DD" w:rsidRDefault="00BC27DD" w:rsidP="00BC27DD">
      <w:pPr>
        <w:pStyle w:val="FootnoteText"/>
        <w:numPr>
          <w:ilvl w:val="0"/>
          <w:numId w:val="9"/>
        </w:numPr>
        <w:rPr>
          <w:lang w:val="en-US"/>
        </w:rPr>
      </w:pPr>
      <w:r w:rsidRPr="00BC27DD">
        <w:rPr>
          <w:lang w:val="en-US"/>
        </w:rPr>
        <w:t xml:space="preserve">Division (2-digit code) – Broad functions of government (e.g., </w:t>
      </w:r>
      <w:r w:rsidRPr="00BC27DD">
        <w:rPr>
          <w:i/>
          <w:iCs/>
          <w:lang w:val="en-US"/>
        </w:rPr>
        <w:t>01 General public services</w:t>
      </w:r>
      <w:r w:rsidRPr="00BC27DD">
        <w:rPr>
          <w:lang w:val="en-US"/>
        </w:rPr>
        <w:t xml:space="preserve">, </w:t>
      </w:r>
      <w:r w:rsidRPr="00BC27DD">
        <w:rPr>
          <w:i/>
          <w:iCs/>
          <w:lang w:val="en-US"/>
        </w:rPr>
        <w:t>07 Health</w:t>
      </w:r>
      <w:r w:rsidRPr="00BC27DD">
        <w:rPr>
          <w:lang w:val="en-US"/>
        </w:rPr>
        <w:t xml:space="preserve">, </w:t>
      </w:r>
      <w:r w:rsidRPr="00BC27DD">
        <w:rPr>
          <w:i/>
          <w:iCs/>
          <w:lang w:val="en-US"/>
        </w:rPr>
        <w:t>09 Education</w:t>
      </w:r>
      <w:r w:rsidRPr="00BC27DD">
        <w:rPr>
          <w:lang w:val="en-US"/>
        </w:rPr>
        <w:t>).</w:t>
      </w:r>
    </w:p>
    <w:p w14:paraId="0786916A" w14:textId="77777777" w:rsidR="00BC27DD" w:rsidRPr="00BC27DD" w:rsidRDefault="00BC27DD" w:rsidP="00BC27DD">
      <w:pPr>
        <w:pStyle w:val="FootnoteText"/>
        <w:numPr>
          <w:ilvl w:val="0"/>
          <w:numId w:val="9"/>
        </w:numPr>
        <w:rPr>
          <w:lang w:val="en-US"/>
        </w:rPr>
      </w:pPr>
      <w:r w:rsidRPr="00BC27DD">
        <w:rPr>
          <w:lang w:val="en-US"/>
        </w:rPr>
        <w:t xml:space="preserve">Group (3-digit code) – Sub-functions within each division (e.g., </w:t>
      </w:r>
      <w:r w:rsidRPr="00BC27DD">
        <w:rPr>
          <w:i/>
          <w:iCs/>
          <w:lang w:val="en-US"/>
        </w:rPr>
        <w:t>071 Medical products, appliances, and equipment</w:t>
      </w:r>
      <w:r w:rsidRPr="00BC27DD">
        <w:rPr>
          <w:lang w:val="en-US"/>
        </w:rPr>
        <w:t xml:space="preserve"> under Health).</w:t>
      </w:r>
    </w:p>
    <w:p w14:paraId="50853798" w14:textId="77777777" w:rsidR="00BC27DD" w:rsidRPr="00BC27DD" w:rsidRDefault="00BC27DD" w:rsidP="00BC27DD">
      <w:pPr>
        <w:pStyle w:val="FootnoteText"/>
        <w:numPr>
          <w:ilvl w:val="0"/>
          <w:numId w:val="9"/>
        </w:numPr>
        <w:rPr>
          <w:lang w:val="en-US"/>
        </w:rPr>
      </w:pPr>
      <w:r w:rsidRPr="00BC27DD">
        <w:rPr>
          <w:lang w:val="en-US"/>
        </w:rPr>
        <w:t xml:space="preserve">Class (4-digit code) – More detailed categories of activities (e.g., </w:t>
      </w:r>
      <w:r w:rsidRPr="00BC27DD">
        <w:rPr>
          <w:i/>
          <w:iCs/>
          <w:lang w:val="en-US"/>
        </w:rPr>
        <w:t>0721 General hospital services</w:t>
      </w:r>
      <w:r w:rsidRPr="00BC27DD">
        <w:rPr>
          <w:lang w:val="en-US"/>
        </w:rPr>
        <w:t>).</w:t>
      </w:r>
    </w:p>
    <w:p w14:paraId="7BEFEDD9" w14:textId="21B2A2E1" w:rsidR="00BC27DD" w:rsidRPr="00BC27DD" w:rsidRDefault="00BC27DD">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849CC" w14:textId="77777777" w:rsidR="00AC0BED" w:rsidRDefault="00AC0BED">
    <w:pPr>
      <w:pBdr>
        <w:top w:val="nil"/>
        <w:left w:val="nil"/>
        <w:bottom w:val="nil"/>
        <w:right w:val="nil"/>
        <w:between w:val="nil"/>
      </w:pBdr>
      <w:tabs>
        <w:tab w:val="center" w:pos="4320"/>
        <w:tab w:val="right" w:pos="8640"/>
      </w:tabs>
      <w:rPr>
        <w:b/>
        <w:color w:val="000000"/>
        <w:sz w:val="28"/>
        <w:szCs w:val="28"/>
      </w:rPr>
    </w:pPr>
  </w:p>
  <w:p w14:paraId="01F3F29A" w14:textId="77777777" w:rsidR="00AC0BED" w:rsidRDefault="00BB0FD5">
    <w:pPr>
      <w:pBdr>
        <w:top w:val="nil"/>
        <w:left w:val="nil"/>
        <w:bottom w:val="nil"/>
        <w:right w:val="nil"/>
        <w:between w:val="nil"/>
      </w:pBdr>
      <w:tabs>
        <w:tab w:val="center" w:pos="4320"/>
        <w:tab w:val="right" w:pos="8640"/>
      </w:tabs>
      <w:rPr>
        <w:b/>
        <w:color w:val="000000"/>
        <w:sz w:val="28"/>
        <w:szCs w:val="28"/>
      </w:rPr>
    </w:pPr>
    <w:r>
      <w:rPr>
        <w:b/>
        <w:color w:val="000000"/>
        <w:sz w:val="28"/>
        <w:szCs w:val="28"/>
      </w:rPr>
      <w:t>Canadian Social Determinants Urban Laboratory</w:t>
    </w:r>
  </w:p>
  <w:p w14:paraId="06AEA91C" w14:textId="77777777" w:rsidR="00AC0BED" w:rsidRDefault="00BB0FD5">
    <w:pPr>
      <w:pBdr>
        <w:top w:val="nil"/>
        <w:left w:val="nil"/>
        <w:bottom w:val="nil"/>
        <w:right w:val="nil"/>
        <w:between w:val="nil"/>
      </w:pBdr>
      <w:tabs>
        <w:tab w:val="center" w:pos="4320"/>
        <w:tab w:val="right" w:pos="8640"/>
      </w:tabs>
      <w:rPr>
        <w:b/>
        <w:color w:val="000000"/>
        <w:sz w:val="28"/>
        <w:szCs w:val="28"/>
      </w:rPr>
    </w:pPr>
    <w:r>
      <w:rPr>
        <w:b/>
        <w:color w:val="000000"/>
        <w:sz w:val="28"/>
        <w:szCs w:val="28"/>
      </w:rPr>
      <w:t>CSDUL</w:t>
    </w:r>
  </w:p>
  <w:p w14:paraId="759A3C43" w14:textId="77777777" w:rsidR="00AC0BED" w:rsidRDefault="00AC0BED">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E48A5"/>
    <w:multiLevelType w:val="multilevel"/>
    <w:tmpl w:val="6A0CE44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3DB7892"/>
    <w:multiLevelType w:val="multilevel"/>
    <w:tmpl w:val="BD04FA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2B82151"/>
    <w:multiLevelType w:val="multilevel"/>
    <w:tmpl w:val="F316254C"/>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E928F9"/>
    <w:multiLevelType w:val="multilevel"/>
    <w:tmpl w:val="2496F1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F0A261E"/>
    <w:multiLevelType w:val="multilevel"/>
    <w:tmpl w:val="02EEA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DA7DF4"/>
    <w:multiLevelType w:val="multilevel"/>
    <w:tmpl w:val="8DCEA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A26B73"/>
    <w:multiLevelType w:val="multilevel"/>
    <w:tmpl w:val="D6D2CE78"/>
    <w:lvl w:ilvl="0">
      <w:start w:val="2"/>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022E57"/>
    <w:multiLevelType w:val="multilevel"/>
    <w:tmpl w:val="F3825428"/>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2D47604"/>
    <w:multiLevelType w:val="multilevel"/>
    <w:tmpl w:val="858CC67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5819329">
    <w:abstractNumId w:val="2"/>
  </w:num>
  <w:num w:numId="2" w16cid:durableId="208349163">
    <w:abstractNumId w:val="6"/>
  </w:num>
  <w:num w:numId="3" w16cid:durableId="1331449463">
    <w:abstractNumId w:val="0"/>
  </w:num>
  <w:num w:numId="4" w16cid:durableId="1234395665">
    <w:abstractNumId w:val="7"/>
  </w:num>
  <w:num w:numId="5" w16cid:durableId="1540127967">
    <w:abstractNumId w:val="8"/>
  </w:num>
  <w:num w:numId="6" w16cid:durableId="973410499">
    <w:abstractNumId w:val="5"/>
  </w:num>
  <w:num w:numId="7" w16cid:durableId="1818104809">
    <w:abstractNumId w:val="3"/>
  </w:num>
  <w:num w:numId="8" w16cid:durableId="341592577">
    <w:abstractNumId w:val="1"/>
  </w:num>
  <w:num w:numId="9" w16cid:durableId="5841470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BED"/>
    <w:rsid w:val="00021320"/>
    <w:rsid w:val="000D52A3"/>
    <w:rsid w:val="001143B8"/>
    <w:rsid w:val="001443B3"/>
    <w:rsid w:val="00154D90"/>
    <w:rsid w:val="00200E61"/>
    <w:rsid w:val="00285690"/>
    <w:rsid w:val="002B5ED8"/>
    <w:rsid w:val="00331CE2"/>
    <w:rsid w:val="004943F3"/>
    <w:rsid w:val="0049642E"/>
    <w:rsid w:val="0054037C"/>
    <w:rsid w:val="00802364"/>
    <w:rsid w:val="00903020"/>
    <w:rsid w:val="009D01B2"/>
    <w:rsid w:val="00AC0BED"/>
    <w:rsid w:val="00AF6C60"/>
    <w:rsid w:val="00BB0FD5"/>
    <w:rsid w:val="00BC27DD"/>
    <w:rsid w:val="00C65003"/>
    <w:rsid w:val="00C81923"/>
    <w:rsid w:val="00CB2DB7"/>
    <w:rsid w:val="00CE2EAA"/>
    <w:rsid w:val="00D16436"/>
    <w:rsid w:val="00D36EC8"/>
    <w:rsid w:val="00DA70FB"/>
    <w:rsid w:val="00DF7B98"/>
    <w:rsid w:val="00E35610"/>
    <w:rsid w:val="00EA4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7929C7"/>
  <w15:docId w15:val="{4A14D0B8-3B60-433E-BD2F-0DBA3713E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outlineLvl w:val="5"/>
    </w:pPr>
    <w:rPr>
      <w:i/>
      <w:color w:val="595959"/>
    </w:rPr>
  </w:style>
  <w:style w:type="paragraph" w:styleId="Heading7">
    <w:name w:val="heading 7"/>
    <w:basedOn w:val="Normal"/>
    <w:next w:val="Normal"/>
    <w:link w:val="Heading7Char"/>
    <w:uiPriority w:val="9"/>
    <w:semiHidden/>
    <w:unhideWhenUsed/>
    <w:qFormat/>
    <w:rsid w:val="001723C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3C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3C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pPr>
    <w:rPr>
      <w:rFonts w:ascii="Play" w:eastAsia="Play" w:hAnsi="Play" w:cs="Play"/>
      <w:sz w:val="56"/>
      <w:szCs w:val="56"/>
    </w:rPr>
  </w:style>
  <w:style w:type="table" w:customStyle="1" w:styleId="TableNormal1">
    <w:name w:val="TableNormal"/>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723CC"/>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semiHidden/>
    <w:rsid w:val="001723CC"/>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semiHidden/>
    <w:rsid w:val="001723CC"/>
    <w:rPr>
      <w:rFonts w:eastAsiaTheme="majorEastAsia" w:cstheme="majorBidi"/>
      <w:color w:val="0F4761" w:themeColor="accent1" w:themeShade="BF"/>
      <w:sz w:val="28"/>
      <w:szCs w:val="28"/>
      <w:lang w:val="en-CA"/>
    </w:rPr>
  </w:style>
  <w:style w:type="character" w:customStyle="1" w:styleId="Heading4Char">
    <w:name w:val="Heading 4 Char"/>
    <w:basedOn w:val="DefaultParagraphFont"/>
    <w:link w:val="Heading4"/>
    <w:uiPriority w:val="9"/>
    <w:semiHidden/>
    <w:rsid w:val="001723CC"/>
    <w:rPr>
      <w:rFonts w:eastAsiaTheme="majorEastAsia"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1723CC"/>
    <w:rPr>
      <w:rFonts w:eastAsiaTheme="majorEastAsia" w:cstheme="majorBidi"/>
      <w:color w:val="0F4761" w:themeColor="accent1" w:themeShade="BF"/>
      <w:lang w:val="en-CA"/>
    </w:rPr>
  </w:style>
  <w:style w:type="character" w:customStyle="1" w:styleId="Heading6Char">
    <w:name w:val="Heading 6 Char"/>
    <w:basedOn w:val="DefaultParagraphFont"/>
    <w:link w:val="Heading6"/>
    <w:uiPriority w:val="9"/>
    <w:semiHidden/>
    <w:rsid w:val="001723CC"/>
    <w:rPr>
      <w:rFonts w:eastAsiaTheme="majorEastAsia" w:cstheme="majorBidi"/>
      <w:i/>
      <w:iCs/>
      <w:color w:val="595959" w:themeColor="text1" w:themeTint="A6"/>
      <w:lang w:val="en-CA"/>
    </w:rPr>
  </w:style>
  <w:style w:type="character" w:customStyle="1" w:styleId="Heading7Char">
    <w:name w:val="Heading 7 Char"/>
    <w:basedOn w:val="DefaultParagraphFont"/>
    <w:link w:val="Heading7"/>
    <w:uiPriority w:val="9"/>
    <w:semiHidden/>
    <w:rsid w:val="001723CC"/>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1723CC"/>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1723CC"/>
    <w:rPr>
      <w:rFonts w:eastAsiaTheme="majorEastAsia" w:cstheme="majorBidi"/>
      <w:color w:val="272727" w:themeColor="text1" w:themeTint="D8"/>
      <w:lang w:val="en-CA"/>
    </w:rPr>
  </w:style>
  <w:style w:type="character" w:customStyle="1" w:styleId="TitleChar">
    <w:name w:val="Title Char"/>
    <w:basedOn w:val="DefaultParagraphFont"/>
    <w:link w:val="Title"/>
    <w:uiPriority w:val="10"/>
    <w:rsid w:val="001723CC"/>
    <w:rPr>
      <w:rFonts w:asciiTheme="majorHAnsi" w:eastAsiaTheme="majorEastAsia" w:hAnsiTheme="majorHAnsi" w:cstheme="majorBidi"/>
      <w:spacing w:val="-10"/>
      <w:kern w:val="28"/>
      <w:sz w:val="56"/>
      <w:szCs w:val="56"/>
      <w:lang w:val="en-CA"/>
    </w:rPr>
  </w:style>
  <w:style w:type="character" w:customStyle="1" w:styleId="SubtitleChar">
    <w:name w:val="Subtitle Char"/>
    <w:basedOn w:val="DefaultParagraphFont"/>
    <w:link w:val="Subtitle"/>
    <w:uiPriority w:val="11"/>
    <w:rsid w:val="001723CC"/>
    <w:rPr>
      <w:rFonts w:eastAsiaTheme="majorEastAsia"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1723CC"/>
    <w:pPr>
      <w:spacing w:before="160"/>
      <w:jc w:val="center"/>
    </w:pPr>
    <w:rPr>
      <w:i/>
      <w:iCs/>
      <w:color w:val="404040" w:themeColor="text1" w:themeTint="BF"/>
    </w:rPr>
  </w:style>
  <w:style w:type="character" w:customStyle="1" w:styleId="QuoteChar">
    <w:name w:val="Quote Char"/>
    <w:basedOn w:val="DefaultParagraphFont"/>
    <w:link w:val="Quote"/>
    <w:uiPriority w:val="29"/>
    <w:rsid w:val="001723CC"/>
    <w:rPr>
      <w:i/>
      <w:iCs/>
      <w:color w:val="404040" w:themeColor="text1" w:themeTint="BF"/>
      <w:lang w:val="en-CA"/>
    </w:rPr>
  </w:style>
  <w:style w:type="paragraph" w:styleId="ListParagraph">
    <w:name w:val="List Paragraph"/>
    <w:basedOn w:val="Normal"/>
    <w:uiPriority w:val="34"/>
    <w:qFormat/>
    <w:rsid w:val="001723CC"/>
    <w:pPr>
      <w:ind w:left="720"/>
      <w:contextualSpacing/>
    </w:pPr>
  </w:style>
  <w:style w:type="character" w:styleId="IntenseEmphasis">
    <w:name w:val="Intense Emphasis"/>
    <w:basedOn w:val="DefaultParagraphFont"/>
    <w:uiPriority w:val="21"/>
    <w:qFormat/>
    <w:rsid w:val="001723CC"/>
    <w:rPr>
      <w:i/>
      <w:iCs/>
      <w:color w:val="0F4761" w:themeColor="accent1" w:themeShade="BF"/>
    </w:rPr>
  </w:style>
  <w:style w:type="paragraph" w:styleId="IntenseQuote">
    <w:name w:val="Intense Quote"/>
    <w:basedOn w:val="Normal"/>
    <w:next w:val="Normal"/>
    <w:link w:val="IntenseQuoteChar"/>
    <w:uiPriority w:val="30"/>
    <w:qFormat/>
    <w:rsid w:val="001723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3CC"/>
    <w:rPr>
      <w:i/>
      <w:iCs/>
      <w:color w:val="0F4761" w:themeColor="accent1" w:themeShade="BF"/>
      <w:lang w:val="en-CA"/>
    </w:rPr>
  </w:style>
  <w:style w:type="character" w:styleId="IntenseReference">
    <w:name w:val="Intense Reference"/>
    <w:basedOn w:val="DefaultParagraphFont"/>
    <w:uiPriority w:val="32"/>
    <w:qFormat/>
    <w:rsid w:val="001723CC"/>
    <w:rPr>
      <w:b/>
      <w:bCs/>
      <w:smallCaps/>
      <w:color w:val="0F4761" w:themeColor="accent1" w:themeShade="BF"/>
      <w:spacing w:val="5"/>
    </w:rPr>
  </w:style>
  <w:style w:type="paragraph" w:styleId="FootnoteText">
    <w:name w:val="footnote text"/>
    <w:basedOn w:val="Normal"/>
    <w:link w:val="FootnoteTextChar"/>
    <w:uiPriority w:val="99"/>
    <w:rsid w:val="001723CC"/>
  </w:style>
  <w:style w:type="character" w:customStyle="1" w:styleId="FootnoteTextChar">
    <w:name w:val="Footnote Text Char"/>
    <w:basedOn w:val="DefaultParagraphFont"/>
    <w:link w:val="FootnoteText"/>
    <w:uiPriority w:val="99"/>
    <w:rsid w:val="001723CC"/>
    <w:rPr>
      <w:rFonts w:ascii="Times New Roman" w:eastAsia="Times New Roman" w:hAnsi="Times New Roman" w:cs="Times New Roman"/>
      <w:kern w:val="0"/>
      <w:sz w:val="20"/>
      <w:szCs w:val="20"/>
      <w:lang w:val="en-GB"/>
    </w:rPr>
  </w:style>
  <w:style w:type="paragraph" w:styleId="Header">
    <w:name w:val="header"/>
    <w:basedOn w:val="Normal"/>
    <w:link w:val="HeaderChar"/>
    <w:uiPriority w:val="99"/>
    <w:rsid w:val="001723CC"/>
    <w:pPr>
      <w:tabs>
        <w:tab w:val="center" w:pos="4320"/>
        <w:tab w:val="right" w:pos="8640"/>
      </w:tabs>
    </w:pPr>
  </w:style>
  <w:style w:type="character" w:customStyle="1" w:styleId="HeaderChar">
    <w:name w:val="Header Char"/>
    <w:basedOn w:val="DefaultParagraphFont"/>
    <w:link w:val="Header"/>
    <w:uiPriority w:val="99"/>
    <w:rsid w:val="001723CC"/>
    <w:rPr>
      <w:rFonts w:ascii="Times New Roman" w:eastAsia="Times New Roman" w:hAnsi="Times New Roman" w:cs="Times New Roman"/>
      <w:kern w:val="0"/>
      <w:sz w:val="20"/>
      <w:szCs w:val="20"/>
      <w:lang w:val="en-GB"/>
    </w:rPr>
  </w:style>
  <w:style w:type="table" w:styleId="TableGrid">
    <w:name w:val="Table Grid"/>
    <w:basedOn w:val="TableNormal"/>
    <w:uiPriority w:val="59"/>
    <w:rsid w:val="001723CC"/>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967C8"/>
    <w:rPr>
      <w:color w:val="666666"/>
    </w:rPr>
  </w:style>
  <w:style w:type="character" w:styleId="Hyperlink">
    <w:name w:val="Hyperlink"/>
    <w:basedOn w:val="DefaultParagraphFont"/>
    <w:uiPriority w:val="99"/>
    <w:unhideWhenUsed/>
    <w:rsid w:val="00D05D3E"/>
    <w:rPr>
      <w:color w:val="467886" w:themeColor="hyperlink"/>
      <w:u w:val="single"/>
    </w:rPr>
  </w:style>
  <w:style w:type="character" w:styleId="UnresolvedMention">
    <w:name w:val="Unresolved Mention"/>
    <w:basedOn w:val="DefaultParagraphFont"/>
    <w:uiPriority w:val="99"/>
    <w:semiHidden/>
    <w:unhideWhenUsed/>
    <w:rsid w:val="00D05D3E"/>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rPr>
    <w:tblPr>
      <w:tblStyleRowBandSize w:val="1"/>
      <w:tblStyleColBandSize w:val="1"/>
    </w:tblPr>
  </w:style>
  <w:style w:type="table" w:customStyle="1" w:styleId="a1">
    <w:basedOn w:val="TableNormal"/>
    <w:rPr>
      <w:rFonts w:ascii="Calibri" w:eastAsia="Calibri" w:hAnsi="Calibri" w:cs="Calibri"/>
    </w:rPr>
    <w:tblPr>
      <w:tblStyleRowBandSize w:val="1"/>
      <w:tblStyleColBandSize w:val="1"/>
    </w:tblPr>
  </w:style>
  <w:style w:type="table" w:customStyle="1" w:styleId="a2">
    <w:basedOn w:val="TableNormal"/>
    <w:rPr>
      <w:rFonts w:ascii="Calibri" w:eastAsia="Calibri" w:hAnsi="Calibri" w:cs="Calibri"/>
    </w:rPr>
    <w:tblPr>
      <w:tblStyleRowBandSize w:val="1"/>
      <w:tblStyleColBandSize w:val="1"/>
    </w:tblPr>
  </w:style>
  <w:style w:type="paragraph" w:styleId="Subtitle">
    <w:name w:val="Subtitle"/>
    <w:basedOn w:val="Normal"/>
    <w:next w:val="Normal"/>
    <w:link w:val="SubtitleChar"/>
    <w:uiPriority w:val="11"/>
    <w:qFormat/>
    <w:rPr>
      <w:color w:val="595959"/>
      <w:sz w:val="28"/>
      <w:szCs w:val="28"/>
    </w:rPr>
  </w:style>
  <w:style w:type="table" w:customStyle="1" w:styleId="a3">
    <w:basedOn w:val="TableNormal"/>
    <w:rPr>
      <w:rFonts w:ascii="Calibri" w:eastAsia="Calibri" w:hAnsi="Calibri" w:cs="Calibri"/>
    </w:rPr>
    <w:tblPr>
      <w:tblStyleRowBandSize w:val="1"/>
      <w:tblStyleColBandSize w:val="1"/>
    </w:tblPr>
  </w:style>
  <w:style w:type="table" w:customStyle="1" w:styleId="a4">
    <w:basedOn w:val="TableNormal"/>
    <w:rPr>
      <w:rFonts w:ascii="Calibri" w:eastAsia="Calibri" w:hAnsi="Calibri" w:cs="Calibri"/>
    </w:rPr>
    <w:tblPr>
      <w:tblStyleRowBandSize w:val="1"/>
      <w:tblStyleColBandSize w:val="1"/>
    </w:tblPr>
  </w:style>
  <w:style w:type="character" w:styleId="CommentReference">
    <w:name w:val="annotation reference"/>
    <w:basedOn w:val="DefaultParagraphFont"/>
    <w:uiPriority w:val="99"/>
    <w:semiHidden/>
    <w:unhideWhenUsed/>
    <w:rsid w:val="00903020"/>
    <w:rPr>
      <w:sz w:val="16"/>
      <w:szCs w:val="16"/>
    </w:rPr>
  </w:style>
  <w:style w:type="paragraph" w:styleId="CommentText">
    <w:name w:val="annotation text"/>
    <w:basedOn w:val="Normal"/>
    <w:link w:val="CommentTextChar"/>
    <w:uiPriority w:val="99"/>
    <w:unhideWhenUsed/>
    <w:rsid w:val="00903020"/>
  </w:style>
  <w:style w:type="character" w:customStyle="1" w:styleId="CommentTextChar">
    <w:name w:val="Comment Text Char"/>
    <w:basedOn w:val="DefaultParagraphFont"/>
    <w:link w:val="CommentText"/>
    <w:uiPriority w:val="99"/>
    <w:rsid w:val="00903020"/>
  </w:style>
  <w:style w:type="paragraph" w:styleId="CommentSubject">
    <w:name w:val="annotation subject"/>
    <w:basedOn w:val="CommentText"/>
    <w:next w:val="CommentText"/>
    <w:link w:val="CommentSubjectChar"/>
    <w:uiPriority w:val="99"/>
    <w:semiHidden/>
    <w:unhideWhenUsed/>
    <w:rsid w:val="00903020"/>
    <w:rPr>
      <w:b/>
      <w:bCs/>
    </w:rPr>
  </w:style>
  <w:style w:type="character" w:customStyle="1" w:styleId="CommentSubjectChar">
    <w:name w:val="Comment Subject Char"/>
    <w:basedOn w:val="CommentTextChar"/>
    <w:link w:val="CommentSubject"/>
    <w:uiPriority w:val="99"/>
    <w:semiHidden/>
    <w:rsid w:val="00903020"/>
    <w:rPr>
      <w:b/>
      <w:bCs/>
    </w:rPr>
  </w:style>
  <w:style w:type="paragraph" w:styleId="Revision">
    <w:name w:val="Revision"/>
    <w:hidden/>
    <w:uiPriority w:val="99"/>
    <w:semiHidden/>
    <w:rsid w:val="00802364"/>
  </w:style>
  <w:style w:type="character" w:styleId="FollowedHyperlink">
    <w:name w:val="FollowedHyperlink"/>
    <w:basedOn w:val="DefaultParagraphFont"/>
    <w:uiPriority w:val="99"/>
    <w:semiHidden/>
    <w:unhideWhenUsed/>
    <w:rsid w:val="000D52A3"/>
    <w:rPr>
      <w:color w:val="96607D" w:themeColor="followedHyperlink"/>
      <w:u w:val="single"/>
    </w:rPr>
  </w:style>
  <w:style w:type="character" w:styleId="FootnoteReference">
    <w:name w:val="footnote reference"/>
    <w:basedOn w:val="DefaultParagraphFont"/>
    <w:uiPriority w:val="99"/>
    <w:semiHidden/>
    <w:unhideWhenUsed/>
    <w:rsid w:val="00BC27DD"/>
    <w:rPr>
      <w:vertAlign w:val="superscript"/>
    </w:rPr>
  </w:style>
  <w:style w:type="paragraph" w:styleId="NormalWeb">
    <w:name w:val="Normal (Web)"/>
    <w:basedOn w:val="Normal"/>
    <w:uiPriority w:val="99"/>
    <w:semiHidden/>
    <w:unhideWhenUsed/>
    <w:rsid w:val="00BC27D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5709361">
      <w:bodyDiv w:val="1"/>
      <w:marLeft w:val="0"/>
      <w:marRight w:val="0"/>
      <w:marTop w:val="0"/>
      <w:marBottom w:val="0"/>
      <w:divBdr>
        <w:top w:val="none" w:sz="0" w:space="0" w:color="auto"/>
        <w:left w:val="none" w:sz="0" w:space="0" w:color="auto"/>
        <w:bottom w:val="none" w:sz="0" w:space="0" w:color="auto"/>
        <w:right w:val="none" w:sz="0" w:space="0" w:color="auto"/>
      </w:divBdr>
    </w:div>
    <w:div w:id="1935167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docs.google.com/document/d/12sF2ND85ZLBVjetXMWRiwyUYXk6R7HWrRMnWOeGivTI/edit?usp=drive_link"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document/d/1lycc3JaAVn4PNslXmE6TZal_w3pEEPt2/edit?usp=drive_link&amp;ouid=115043681076556168159&amp;rtpof=true&amp;sd=true"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drive.google.com/file/d/1emOEWLaWxJeFzedKeXp3pVlLs7z3XUmz/view" TargetMode="External"/><Relationship Id="rId4" Type="http://schemas.openxmlformats.org/officeDocument/2006/relationships/styles" Target="styles.xml"/><Relationship Id="rId9" Type="http://schemas.openxmlformats.org/officeDocument/2006/relationships/hyperlink" Target="https://docs.google.com/document/d/1t4_Bh5pRtHzd8GQ3ifJWY2zjjjch8DFf/edit"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o56tZG0SGiEpPKgLfCSuy2tauw==">CgMxLjAyCWlkLmdqZGd4czIJaC4zMGowemxsMg5oLnV2N3M2NW9jdDdoZTIOaC5jNDVnNGZ3OTd1OTgyDmguM3hodjllYnJtYjQ1Mg5oLmljZTZwenh5a3l3bTIOaC5jYXd4MGJnYzM1dWIyDmguMjd2azlpOWt5ajltMg5oLjI3dms5aTlreWo5bTIOaC4yN3ZrOWk5a3lqOW0yDmguc2R6eXZwcmpsYjBkMg5oLmg1bnBnN2tmdHNqZTIOaC4yaWR2NXhtNzZ5NzUyDmguZGFhODJ4bXQybTBxMg5oLjgyOGVrYm5ydDM1bjIOaC4yN3ZrOWk5a3lqOW04AHIhMTZDV0hyNXdMM294NGMtbGhlNmF1aGR0bHhabDA4LVVC</go:docsCustomData>
</go:gDocsCustomXmlDataStorage>
</file>

<file path=customXml/itemProps1.xml><?xml version="1.0" encoding="utf-8"?>
<ds:datastoreItem xmlns:ds="http://schemas.openxmlformats.org/officeDocument/2006/customXml" ds:itemID="{0C1D26B3-0A53-4966-A794-16F0C7F7CFA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2293</Words>
  <Characters>13878</Characters>
  <Application>Microsoft Office Word</Application>
  <DocSecurity>0</DocSecurity>
  <Lines>277</Lines>
  <Paragraphs>114</Paragraphs>
  <ScaleCrop>false</ScaleCrop>
  <HeadingPairs>
    <vt:vector size="2" baseType="variant">
      <vt:variant>
        <vt:lpstr>Title</vt:lpstr>
      </vt:variant>
      <vt:variant>
        <vt:i4>1</vt:i4>
      </vt:variant>
    </vt:vector>
  </HeadingPairs>
  <TitlesOfParts>
    <vt:vector size="1" baseType="lpstr">
      <vt:lpstr/>
    </vt:vector>
  </TitlesOfParts>
  <Company>University of Saskatchewan</Company>
  <LinksUpToDate>false</LinksUpToDate>
  <CharactersWithSpaces>16057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Yupanqui Concha, Daniel</dc:creator>
  <cp:lastModifiedBy>Yupanqui Concha, Daniel</cp:lastModifiedBy>
  <cp:revision>7</cp:revision>
  <dcterms:created xsi:type="dcterms:W3CDTF">2025-09-19T17:25:00Z</dcterms:created>
  <dcterms:modified xsi:type="dcterms:W3CDTF">2025-09-19T18:55:00Z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4bbe9fac-eb09-4faa-814f-e3746f1b332c</vt:lpwstr>
  </property>
</Properties>
</file>