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Preliminary Form to Add Social Determinants to CSDUL</w:t>
      </w:r>
      <w:r w:rsidDel="00000000" w:rsidR="00000000" w:rsidRPr="00000000">
        <w:rPr>
          <w:rtl w:val="0"/>
        </w:rPr>
      </w:r>
    </w:p>
    <w:bookmarkStart w:colFirst="0" w:colLast="0" w:name="kix.jo8c2n7tkj7h" w:id="0"/>
    <w:bookmarkEnd w:id="0"/>
    <w:p w:rsidR="00000000" w:rsidDel="00000000" w:rsidP="00000000" w:rsidRDefault="00000000" w:rsidRPr="00000000" w14:paraId="00000002">
      <w:pPr>
        <w:spacing w:before="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date (2026-07-02): </w:t>
      </w:r>
    </w:p>
    <w:p w:rsidR="00000000" w:rsidDel="00000000" w:rsidP="00000000" w:rsidRDefault="00000000" w:rsidRPr="00000000" w14:paraId="00000003">
      <w:pPr>
        <w:spacing w:before="240" w:line="240" w:lineRule="auto"/>
        <w:jc w:val="right"/>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10246.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53"/>
        <w:gridCol w:w="5793"/>
        <w:tblGridChange w:id="0">
          <w:tblGrid>
            <w:gridCol w:w="4453"/>
            <w:gridCol w:w="5793"/>
          </w:tblGrid>
        </w:tblGridChange>
      </w:tblGrid>
      <w:tr>
        <w:trPr>
          <w:cantSplit w:val="0"/>
          <w:trHeight w:val="809" w:hRule="atLeast"/>
          <w:tblHeader w:val="0"/>
        </w:trPr>
        <w:tc>
          <w:tcPr>
            <w:vAlign w:val="center"/>
          </w:tcPr>
          <w:p w:rsidR="00000000" w:rsidDel="00000000" w:rsidP="00000000" w:rsidRDefault="00000000" w:rsidRPr="00000000" w14:paraId="00000004">
            <w:pPr>
              <w:spacing w:before="40" w:line="240" w:lineRule="auto"/>
              <w:rPr>
                <w:sz w:val="24"/>
                <w:szCs w:val="24"/>
              </w:rPr>
            </w:pPr>
            <w:r w:rsidDel="00000000" w:rsidR="00000000" w:rsidRPr="00000000">
              <w:rPr>
                <w:b w:val="1"/>
                <w:bCs w:val="1"/>
                <w:sz w:val="24"/>
                <w:szCs w:val="24"/>
                <w:rtl w:val="0"/>
              </w:rPr>
              <w:t xml:space="preserve">Researcher (name and affiliation):</w:t>
            </w:r>
            <w:r w:rsidDel="00000000" w:rsidR="00000000" w:rsidRPr="00000000">
              <w:rPr>
                <w:rtl w:val="0"/>
              </w:rPr>
            </w:r>
          </w:p>
        </w:tc>
        <w:tc>
          <w:tcPr>
            <w:vAlign w:val="center"/>
          </w:tcPr>
          <w:p w:rsidR="00000000" w:rsidDel="00000000" w:rsidP="00000000" w:rsidRDefault="00000000" w:rsidRPr="00000000" w14:paraId="00000005">
            <w:pPr>
              <w:spacing w:before="40" w:line="240" w:lineRule="auto"/>
              <w:rPr>
                <w:sz w:val="24"/>
                <w:szCs w:val="24"/>
              </w:rPr>
            </w:pPr>
            <w:r w:rsidDel="00000000" w:rsidR="00000000" w:rsidRPr="00000000">
              <w:rPr>
                <w:sz w:val="24"/>
                <w:szCs w:val="24"/>
                <w:rtl w:val="0"/>
              </w:rPr>
              <w:t xml:space="preserve">Sean Leipe, McMaster University</w:t>
            </w:r>
          </w:p>
          <w:p w:rsidR="00000000" w:rsidDel="00000000" w:rsidP="00000000" w:rsidRDefault="00000000" w:rsidRPr="00000000" w14:paraId="00000006">
            <w:pPr>
              <w:spacing w:before="40" w:line="240" w:lineRule="auto"/>
              <w:rPr>
                <w:sz w:val="24"/>
                <w:szCs w:val="24"/>
              </w:rPr>
            </w:pPr>
            <w:r w:rsidDel="00000000" w:rsidR="00000000" w:rsidRPr="00000000">
              <w:rPr>
                <w:sz w:val="24"/>
                <w:szCs w:val="24"/>
                <w:rtl w:val="0"/>
              </w:rPr>
              <w:t xml:space="preserve">Jackie Villanueva, McMaster University</w:t>
            </w:r>
          </w:p>
        </w:tc>
      </w:tr>
      <w:tr>
        <w:trPr>
          <w:cantSplit w:val="0"/>
          <w:trHeight w:val="269" w:hRule="atLeast"/>
          <w:tblHeader w:val="0"/>
        </w:trPr>
        <w:tc>
          <w:tcPr>
            <w:vAlign w:val="center"/>
          </w:tcPr>
          <w:p w:rsidR="00000000" w:rsidDel="00000000" w:rsidP="00000000" w:rsidRDefault="00000000" w:rsidRPr="00000000" w14:paraId="00000007">
            <w:pPr>
              <w:spacing w:before="40" w:line="240" w:lineRule="auto"/>
              <w:rPr/>
            </w:pPr>
            <w:r w:rsidDel="00000000" w:rsidR="00000000" w:rsidRPr="00000000">
              <w:rPr>
                <w:b w:val="1"/>
                <w:bCs w:val="1"/>
                <w:sz w:val="24"/>
                <w:szCs w:val="24"/>
                <w:rtl w:val="0"/>
              </w:rPr>
              <w:t xml:space="preserve">Node Lead (name and affiliation):</w:t>
            </w:r>
            <w:r w:rsidDel="00000000" w:rsidR="00000000" w:rsidRPr="00000000">
              <w:rPr>
                <w:rtl w:val="0"/>
              </w:rPr>
            </w:r>
          </w:p>
        </w:tc>
        <w:tc>
          <w:tcPr>
            <w:vAlign w:val="center"/>
          </w:tcPr>
          <w:p w:rsidR="00000000" w:rsidDel="00000000" w:rsidP="00000000" w:rsidRDefault="00000000" w:rsidRPr="00000000" w14:paraId="00000008">
            <w:pPr>
              <w:spacing w:before="40" w:line="240" w:lineRule="auto"/>
              <w:rPr/>
            </w:pPr>
            <w:r w:rsidDel="00000000" w:rsidR="00000000" w:rsidRPr="00000000">
              <w:rPr>
                <w:rtl w:val="0"/>
              </w:rPr>
              <w:t xml:space="preserve">Marisa Young, McMaster University</w:t>
            </w:r>
          </w:p>
        </w:tc>
      </w:tr>
      <w:tr>
        <w:trPr>
          <w:cantSplit w:val="0"/>
          <w:trHeight w:val="455" w:hRule="atLeast"/>
          <w:tblHeader w:val="0"/>
        </w:trPr>
        <w:tc>
          <w:tcPr>
            <w:vAlign w:val="center"/>
          </w:tcPr>
          <w:p w:rsidR="00000000" w:rsidDel="00000000" w:rsidP="00000000" w:rsidRDefault="00000000" w:rsidRPr="00000000" w14:paraId="00000009">
            <w:pPr>
              <w:spacing w:before="40" w:line="240" w:lineRule="auto"/>
              <w:rPr/>
            </w:pPr>
            <w:r w:rsidDel="00000000" w:rsidR="00000000" w:rsidRPr="00000000">
              <w:rPr>
                <w:b w:val="1"/>
                <w:bCs w:val="1"/>
                <w:sz w:val="24"/>
                <w:szCs w:val="24"/>
                <w:rtl w:val="0"/>
              </w:rPr>
              <w:t xml:space="preserve">Indicator or Model Name:</w:t>
              <w:tab/>
            </w:r>
            <w:r w:rsidDel="00000000" w:rsidR="00000000" w:rsidRPr="00000000">
              <w:rPr>
                <w:rtl w:val="0"/>
              </w:rPr>
            </w:r>
          </w:p>
        </w:tc>
        <w:tc>
          <w:tcPr>
            <w:vAlign w:val="center"/>
          </w:tcPr>
          <w:p w:rsidR="00000000" w:rsidDel="00000000" w:rsidP="00000000" w:rsidRDefault="00000000" w:rsidRPr="00000000" w14:paraId="0000000A">
            <w:pPr>
              <w:spacing w:before="40" w:line="240" w:lineRule="auto"/>
              <w:rPr>
                <w:highlight w:val="yellow"/>
              </w:rPr>
            </w:pPr>
            <w:r w:rsidDel="00000000" w:rsidR="00000000" w:rsidRPr="00000000">
              <w:rPr>
                <w:highlight w:val="yellow"/>
                <w:rtl w:val="0"/>
              </w:rPr>
              <w:t xml:space="preserve">Civic, Community, and Neighbourhood Stability Resources</w:t>
            </w:r>
          </w:p>
        </w:tc>
      </w:tr>
    </w:tbl>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of the document</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includes several questions that must be answered by the researcher interested in adding indicators or models into CSDUL. These questions pretend to briefly explain the mathematical and theoretical framework of the indicator or model being incorporated. The researcher must be able to fill out every question clearly and concisely, supporting their explanation with respectable academic sources. </w:t>
      </w:r>
    </w:p>
    <w:p w:rsidR="00000000" w:rsidDel="00000000" w:rsidP="00000000" w:rsidRDefault="00000000" w:rsidRPr="00000000" w14:paraId="0000000E">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The document will be added to the model or indicator documentation in CSDUL-OUT and CSDUL-RDC. It must serve as a quick and straightforward introduction to the indicator or model for anyone interested and give relevant references to guide the learning process to other researchers. </w:t>
      </w: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To be completed by the responsible analyst.</w:t>
      </w:r>
    </w:p>
    <w:p w:rsidR="00000000" w:rsidDel="00000000" w:rsidP="00000000" w:rsidRDefault="00000000" w:rsidRPr="00000000" w14:paraId="00000010">
      <w:pPr>
        <w:spacing w:line="24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If there are questions that cannot be answered because of the nature of the indicator/model, write N/A.</w:t>
      </w:r>
    </w:p>
    <w:p w:rsidR="00000000" w:rsidDel="00000000" w:rsidP="00000000" w:rsidRDefault="00000000" w:rsidRPr="00000000" w14:paraId="00000011">
      <w:pPr>
        <w:spacing w:line="24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You can support your completion using the example document located in this link: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Documents - Add inputs to CSDUL - 02 - Example.docx - Google Docs</w:t>
        </w:r>
      </w:hyperlink>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numPr>
          <w:ilvl w:val="0"/>
          <w:numId w:val="3"/>
        </w:numPr>
        <w:spacing w:after="120"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you share the inputs through CSDUL-RDC, CSDUL-OUT, or both?</w:t>
        <w:tab/>
      </w:r>
      <w:r w:rsidDel="00000000" w:rsidR="00000000" w:rsidRPr="00000000">
        <w:rPr>
          <w:rFonts w:ascii="Times New Roman" w:cs="Times New Roman" w:eastAsia="Times New Roman" w:hAnsi="Times New Roman"/>
          <w:b w:val="1"/>
          <w:bCs w:val="1"/>
          <w:sz w:val="24"/>
          <w:szCs w:val="24"/>
          <w:highlight w:val="yellow"/>
          <w:rtl w:val="0"/>
        </w:rPr>
        <w:t xml:space="preserve">CSDUL-OUT</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6">
      <w:pPr>
        <w:numPr>
          <w:ilvl w:val="0"/>
          <w:numId w:val="4"/>
        </w:numP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of the indicator/model. </w:t>
      </w:r>
    </w:p>
    <w:p w:rsidR="00000000" w:rsidDel="00000000" w:rsidP="00000000" w:rsidRDefault="00000000" w:rsidRPr="00000000" w14:paraId="00000017">
      <w:pPr>
        <w:numPr>
          <w:ilvl w:val="1"/>
          <w:numId w:val="4"/>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simple words, explain what the indicator/model to be added consists of.</w:t>
      </w:r>
    </w:p>
    <w:p w:rsidR="00000000" w:rsidDel="00000000" w:rsidP="00000000" w:rsidRDefault="00000000" w:rsidRPr="00000000" w14:paraId="00000018">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indicators for CCNSR (Civic, Community, and Neighbourhood Stability Resources) represent institutional civic support and neighbourhood instability markers. These include healthcare services (e.g., general and medical hospitals), legal services, residential care (e.g., assisted living facilities, group homes), social services (e.g., advocacy groups, social agencies), civic organizations (e.g., social clubs), drinking establishments (e.g., bars and/or nightclubs), personal credit institutions (e.g., short-term loan establishments, pay-day loans), hotels and motels, rooming and boarding houses (e.g., shelters, hostels), and coin-operated laundries and drycleaning (e.g., laundromats). Together, these indicators capture neighbourhood-level infrastructure linked to instability, community support, and equitable access to services. </w:t>
      </w:r>
      <w:r w:rsidDel="00000000" w:rsidR="00000000" w:rsidRPr="00000000">
        <w:rPr>
          <w:rFonts w:ascii="Times New Roman" w:cs="Times New Roman" w:eastAsia="Times New Roman" w:hAnsi="Times New Roman"/>
          <w:sz w:val="24"/>
          <w:szCs w:val="24"/>
          <w:rtl w:val="0"/>
        </w:rPr>
        <w:t xml:space="preserve">These data come </w:t>
      </w:r>
      <w:r w:rsidDel="00000000" w:rsidR="00000000" w:rsidRPr="00000000">
        <w:rPr>
          <w:rFonts w:ascii="Times New Roman" w:cs="Times New Roman" w:eastAsia="Times New Roman" w:hAnsi="Times New Roman"/>
          <w:sz w:val="24"/>
          <w:szCs w:val="24"/>
          <w:rtl w:val="0"/>
        </w:rPr>
        <w:t xml:space="preserve">from the Digital</w:t>
      </w:r>
      <w:r w:rsidDel="00000000" w:rsidR="00000000" w:rsidRPr="00000000">
        <w:rPr>
          <w:rFonts w:ascii="Times New Roman" w:cs="Times New Roman" w:eastAsia="Times New Roman" w:hAnsi="Times New Roman"/>
          <w:sz w:val="24"/>
          <w:szCs w:val="24"/>
          <w:rtl w:val="0"/>
        </w:rPr>
        <w:t xml:space="preserve"> Map Technologies Inc. (DMTI), which is a Canadian company specializing in geospatial data and mapping solutions. It provides high-precision location-based datasets widely used in business, government, and academic research. The raw data are accessible to any researcher at a university that holds a Scholars GeoPortal license.</w:t>
      </w:r>
    </w:p>
    <w:p w:rsidR="00000000" w:rsidDel="00000000" w:rsidP="00000000" w:rsidRDefault="00000000" w:rsidRPr="00000000" w14:paraId="00000019">
      <w:pPr>
        <w:spacing w:line="259" w:lineRule="auto"/>
        <w:ind w:left="79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numPr>
          <w:ilvl w:val="1"/>
          <w:numId w:val="4"/>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there assumptions associated with the indicator/model? If there are, please briefly describe them.</w:t>
      </w:r>
    </w:p>
    <w:p w:rsidR="00000000" w:rsidDel="00000000" w:rsidP="00000000" w:rsidRDefault="00000000" w:rsidRPr="00000000" w14:paraId="0000001B">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indicators associated with the CCNSR do involve several assumptions:</w:t>
      </w:r>
    </w:p>
    <w:p w:rsidR="00000000" w:rsidDel="00000000" w:rsidP="00000000" w:rsidRDefault="00000000" w:rsidRPr="00000000" w14:paraId="0000001C">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Proximity and Accessibility: </w:t>
      </w:r>
      <w:r w:rsidDel="00000000" w:rsidR="00000000" w:rsidRPr="00000000">
        <w:rPr>
          <w:rFonts w:ascii="Times New Roman" w:cs="Times New Roman" w:eastAsia="Times New Roman" w:hAnsi="Times New Roman"/>
          <w:sz w:val="24"/>
          <w:szCs w:val="24"/>
          <w:rtl w:val="0"/>
        </w:rPr>
        <w:t xml:space="preserve">A key assumption is that the presence of these resources within a certain geographic area (e.g., census divisions) means they are accessible to residents. This assumes that closer proximity directly translates to access and usability for families, which may not account for individual mobility limitations or other barriers.</w:t>
      </w:r>
    </w:p>
    <w:p w:rsidR="00000000" w:rsidDel="00000000" w:rsidP="00000000" w:rsidRDefault="00000000" w:rsidRPr="00000000" w14:paraId="0000001E">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Classification, Comparison, and Accuracy: </w:t>
      </w:r>
      <w:r w:rsidDel="00000000" w:rsidR="00000000" w:rsidRPr="00000000">
        <w:rPr>
          <w:rFonts w:ascii="Times New Roman" w:cs="Times New Roman" w:eastAsia="Times New Roman" w:hAnsi="Times New Roman"/>
          <w:sz w:val="24"/>
          <w:szCs w:val="24"/>
          <w:rtl w:val="0"/>
        </w:rPr>
        <w:t xml:space="preserve">The CCNSR indicators are based on Standard Industrial Classification (SIC) codes to categorize resources, assuming these codes are consistently accurate in representing each resource type. SIC codes are a system for categorizing establishments based on their primary economic activity, historically used for economic censuses, business directories, and resource mapping, and still common in datasets like those used here. They provide a standardized way to identify and group organizations such as schools, grocery stores, or clinics.</w:t>
      </w:r>
    </w:p>
    <w:p w:rsidR="00000000" w:rsidDel="00000000" w:rsidP="00000000" w:rsidRDefault="00000000" w:rsidRPr="00000000" w14:paraId="00000020">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SIC codes vary compared to other forms of classification. For example, the Canadian Classification of Functions of Government (CCOFOG) organizes government expenditures by their purpose (e.g., education, health, housing) rather than by the type of establishment. While SIC focuses on industries and producers, CCOFOG focuses on how public funds are allocated across functional areas of government activity.</w:t>
      </w:r>
    </w:p>
    <w:p w:rsidR="00000000" w:rsidDel="00000000" w:rsidP="00000000" w:rsidRDefault="00000000" w:rsidRPr="00000000" w14:paraId="00000022">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Despite the benefits of SIC codes, note thatHowever,  there can be classification errors or limitations in how specific types of facilities are coded, as outlined in Young et al. (2023). Please see Section 2.9 for additional information on these potential biases. </w:t>
      </w:r>
    </w:p>
    <w:p w:rsidR="00000000" w:rsidDel="00000000" w:rsidP="00000000" w:rsidRDefault="00000000" w:rsidRPr="00000000" w14:paraId="00000024">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Community as a Source of Social Infrastructure: </w:t>
      </w:r>
      <w:r w:rsidDel="00000000" w:rsidR="00000000" w:rsidRPr="00000000">
        <w:rPr>
          <w:rFonts w:ascii="Times New Roman" w:cs="Times New Roman" w:eastAsia="Times New Roman" w:hAnsi="Times New Roman"/>
          <w:sz w:val="24"/>
          <w:szCs w:val="24"/>
          <w:rtl w:val="0"/>
        </w:rPr>
        <w:t xml:space="preserve">The indicators assume that the community resources also serve as “social infrastructure,” fostering social bonds, safety, and collective efficacy. This assumption is based on Klinenberg's (2018) model, which posits that community spaces help residents form networks, enhancing mutual support and reducing individual stress.</w:t>
      </w:r>
    </w:p>
    <w:p w:rsidR="00000000" w:rsidDel="00000000" w:rsidP="00000000" w:rsidRDefault="00000000" w:rsidRPr="00000000" w14:paraId="00000026">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Combined Resource Effect: </w:t>
      </w:r>
      <w:r w:rsidDel="00000000" w:rsidR="00000000" w:rsidRPr="00000000">
        <w:rPr>
          <w:rFonts w:ascii="Times New Roman" w:cs="Times New Roman" w:eastAsia="Times New Roman" w:hAnsi="Times New Roman"/>
          <w:sz w:val="24"/>
          <w:szCs w:val="24"/>
          <w:rtl w:val="0"/>
        </w:rPr>
        <w:t xml:space="preserve">There’s an assumption that the cumulative effect of multiple resources in an area has a stronger positive impact on residents’ well-being than any single resource alone. This reflects the idea that an environment rich in family and safety resources is more beneficial holistically.</w:t>
      </w:r>
    </w:p>
    <w:p w:rsidR="00000000" w:rsidDel="00000000" w:rsidP="00000000" w:rsidRDefault="00000000" w:rsidRPr="00000000" w14:paraId="00000028">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assumptions underlie the CCNSR framework's approach to understanding how community resources contribute to enhancing health and well-being for residents.</w:t>
      </w:r>
    </w:p>
    <w:p w:rsidR="00000000" w:rsidDel="00000000" w:rsidP="00000000" w:rsidRDefault="00000000" w:rsidRPr="00000000" w14:paraId="0000002A">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1"/>
          <w:numId w:val="4"/>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is the indicator/model derived? Support your explanation with formulas when possible.</w:t>
      </w:r>
    </w:p>
    <w:p w:rsidR="00000000" w:rsidDel="00000000" w:rsidP="00000000" w:rsidRDefault="00000000" w:rsidRPr="00000000" w14:paraId="0000002C">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CCNSR indicators are derived through a structured approach involving data collection, classification and counting across census tracts.</w:t>
      </w:r>
    </w:p>
    <w:p w:rsidR="00000000" w:rsidDel="00000000" w:rsidP="00000000" w:rsidRDefault="00000000" w:rsidRPr="00000000" w14:paraId="0000002D">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Collection and Classification</w:t>
      </w:r>
      <w:r w:rsidDel="00000000" w:rsidR="00000000" w:rsidRPr="00000000">
        <w:rPr>
          <w:rFonts w:ascii="Times New Roman" w:cs="Times New Roman" w:eastAsia="Times New Roman" w:hAnsi="Times New Roman"/>
          <w:sz w:val="24"/>
          <w:szCs w:val="24"/>
          <w:rtl w:val="0"/>
        </w:rPr>
        <w:t xml:space="preserve">: CCNSR indicators are based on data from DMTI Spatial, which provides information on various community resources across Canada.  Resources are categorized using Standard Industrial Classification (SIC) codes, which identify specific resource types like education facilities, food stores, recreation facilities, and police and fire stations. This classification system allows each relevant point of interest to be categorized according to the CCNSR resource types.</w:t>
      </w:r>
    </w:p>
    <w:p w:rsidR="00000000" w:rsidDel="00000000" w:rsidP="00000000" w:rsidRDefault="00000000" w:rsidRPr="00000000" w14:paraId="0000002F">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information on DMTI Spatial and SIC codes can be found </w:t>
      </w:r>
      <w:hyperlink r:id="rId7">
        <w:r w:rsidDel="00000000" w:rsidR="00000000" w:rsidRPr="00000000">
          <w:rPr>
            <w:rFonts w:ascii="Times New Roman" w:cs="Times New Roman" w:eastAsia="Times New Roman" w:hAnsi="Times New Roman"/>
            <w:color w:val="467886"/>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Counting Resources by Census Tract: </w:t>
      </w:r>
      <w:r w:rsidDel="00000000" w:rsidR="00000000" w:rsidRPr="00000000">
        <w:rPr>
          <w:rFonts w:ascii="Times New Roman" w:cs="Times New Roman" w:eastAsia="Times New Roman" w:hAnsi="Times New Roman"/>
          <w:sz w:val="24"/>
          <w:szCs w:val="24"/>
          <w:rtl w:val="0"/>
        </w:rPr>
        <w:t xml:space="preserve"> For each census tract, the number of resources in each category (e.g., education facilities, food stores) is tallied. These counts provide the baseline measure for each type of family and / or safety resource within the census tract.</w:t>
      </w:r>
    </w:p>
    <w:p w:rsidR="00000000" w:rsidDel="00000000" w:rsidP="00000000" w:rsidRDefault="00000000" w:rsidRPr="00000000" w14:paraId="00000033">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59"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We include the following recommendations to future researchers using these indicators:</w:t>
      </w:r>
    </w:p>
    <w:p w:rsidR="00000000" w:rsidDel="00000000" w:rsidP="00000000" w:rsidRDefault="00000000" w:rsidRPr="00000000" w14:paraId="00000035">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Standardizing Counts by Population:</w:t>
      </w:r>
      <w:r w:rsidDel="00000000" w:rsidR="00000000" w:rsidRPr="00000000">
        <w:rPr>
          <w:rFonts w:ascii="Times New Roman" w:cs="Times New Roman" w:eastAsia="Times New Roman" w:hAnsi="Times New Roman"/>
          <w:sz w:val="24"/>
          <w:szCs w:val="24"/>
          <w:rtl w:val="0"/>
        </w:rPr>
        <w:t xml:space="preserve">   To enable comparisons across census tracts with different population sizes, each resource count should be standardized per capita. This creates a measure of resources available per population unit within each tract, making the data comparable across areas with varying population densities.</w:t>
      </w:r>
    </w:p>
    <w:p w:rsidR="00000000" w:rsidDel="00000000" w:rsidP="00000000" w:rsidRDefault="00000000" w:rsidRPr="00000000" w14:paraId="00000037">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Z-Score Transformation: </w:t>
      </w:r>
      <w:r w:rsidDel="00000000" w:rsidR="00000000" w:rsidRPr="00000000">
        <w:rPr>
          <w:rFonts w:ascii="Times New Roman" w:cs="Times New Roman" w:eastAsia="Times New Roman" w:hAnsi="Times New Roman"/>
          <w:sz w:val="24"/>
          <w:szCs w:val="24"/>
          <w:rtl w:val="0"/>
        </w:rPr>
        <w:t xml:space="preserve">For those wishing to use these data for descriptive and simple comparison analysis, we recommend that  tThe standardized counts for each resource category should then be transformed into z-scores, which normalize the data across census tracts. This transformation ensures that each resource type is centered around the same scale, allowing for direct comparisons within and across census tracts.</w:t>
      </w:r>
    </w:p>
    <w:p w:rsidR="00000000" w:rsidDel="00000000" w:rsidP="00000000" w:rsidRDefault="00000000" w:rsidRPr="00000000" w14:paraId="00000039">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59" w:lineRule="auto"/>
        <w:ind w:left="79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numPr>
          <w:ilvl w:val="1"/>
          <w:numId w:val="4"/>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unit of analysis of the indicator/model? (e.g. households, persons, cities)</w:t>
      </w:r>
    </w:p>
    <w:p w:rsidR="00000000" w:rsidDel="00000000" w:rsidP="00000000" w:rsidRDefault="00000000" w:rsidRPr="00000000" w14:paraId="0000003C">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of analysis is the census tract.  “number of resources.” 1= one of those identified classification in the census tract, etc. </w:t>
      </w:r>
    </w:p>
    <w:p w:rsidR="00000000" w:rsidDel="00000000" w:rsidP="00000000" w:rsidRDefault="00000000" w:rsidRPr="00000000" w14:paraId="0000003D">
      <w:pPr>
        <w:spacing w:line="259" w:lineRule="auto"/>
        <w:ind w:left="79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numPr>
          <w:ilvl w:val="1"/>
          <w:numId w:val="4"/>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can the indicator be integrated with other datasets?</w:t>
      </w:r>
    </w:p>
    <w:p w:rsidR="00000000" w:rsidDel="00000000" w:rsidP="00000000" w:rsidRDefault="00000000" w:rsidRPr="00000000" w14:paraId="0000003F">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census tract identifier, counts can be aggregated to different levels of census geography through a tabular join. Any data that has been collected at (or aggregated to) the census tract levelCT-level or coarser can be joined to this dataset by CTUID. We would not be able to get CCNSR counts down to a finer level of geography from census tractCT, but could extract using finer boundaries (e.g. dissemination area)</w:t>
      </w:r>
    </w:p>
    <w:p w:rsidR="00000000" w:rsidDel="00000000" w:rsidP="00000000" w:rsidRDefault="00000000" w:rsidRPr="00000000" w14:paraId="00000040">
      <w:pPr>
        <w:spacing w:line="259" w:lineRule="auto"/>
        <w:ind w:left="79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numPr>
          <w:ilvl w:val="1"/>
          <w:numId w:val="4"/>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boundaries of the indicator/model?</w:t>
      </w:r>
    </w:p>
    <w:p w:rsidR="00000000" w:rsidDel="00000000" w:rsidP="00000000" w:rsidRDefault="00000000" w:rsidRPr="00000000" w14:paraId="00000042">
      <w:pPr>
        <w:spacing w:line="259"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Values can range from zero into the hundreds. However, we did not detect any census tract with more than 100 or any given resource type. Value ranges may vary if researchers choose to standardize counts by population. </w:t>
      </w:r>
    </w:p>
    <w:p w:rsidR="00000000" w:rsidDel="00000000" w:rsidP="00000000" w:rsidRDefault="00000000" w:rsidRPr="00000000" w14:paraId="00000043">
      <w:pPr>
        <w:spacing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numPr>
          <w:ilvl w:val="1"/>
          <w:numId w:val="4"/>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you want to add a model to CSDUL, is this associated with a hypothesis? If yes, please describe their:</w:t>
      </w:r>
    </w:p>
    <w:p w:rsidR="00000000" w:rsidDel="00000000" w:rsidP="00000000" w:rsidRDefault="00000000" w:rsidRPr="00000000" w14:paraId="00000045">
      <w:pPr>
        <w:numPr>
          <w:ilvl w:val="2"/>
          <w:numId w:val="2"/>
        </w:numPr>
        <w:spacing w:line="259"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w:t>
      </w:r>
    </w:p>
    <w:p w:rsidR="00000000" w:rsidDel="00000000" w:rsidP="00000000" w:rsidRDefault="00000000" w:rsidRPr="00000000" w14:paraId="00000046">
      <w:pPr>
        <w:numPr>
          <w:ilvl w:val="2"/>
          <w:numId w:val="2"/>
        </w:numPr>
        <w:spacing w:line="259"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w:t>
      </w:r>
    </w:p>
    <w:p w:rsidR="00000000" w:rsidDel="00000000" w:rsidP="00000000" w:rsidRDefault="00000000" w:rsidRPr="00000000" w14:paraId="00000047">
      <w:pPr>
        <w:numPr>
          <w:ilvl w:val="2"/>
          <w:numId w:val="2"/>
        </w:numPr>
        <w:spacing w:line="259"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implications of rejecting the null hypothesis</w:t>
      </w:r>
    </w:p>
    <w:p w:rsidR="00000000" w:rsidDel="00000000" w:rsidP="00000000" w:rsidRDefault="00000000" w:rsidRPr="00000000" w14:paraId="00000048">
      <w:pPr>
        <w:spacing w:line="259"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numPr>
          <w:ilvl w:val="1"/>
          <w:numId w:val="4"/>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interpretation of the values of the indicator/model?</w:t>
      </w:r>
    </w:p>
    <w:p w:rsidR="00000000" w:rsidDel="00000000" w:rsidP="00000000" w:rsidRDefault="00000000" w:rsidRPr="00000000" w14:paraId="0000004A">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values equal greater resources of that given classification. </w:t>
      </w:r>
    </w:p>
    <w:p w:rsidR="00000000" w:rsidDel="00000000" w:rsidP="00000000" w:rsidRDefault="00000000" w:rsidRPr="00000000" w14:paraId="0000004B">
      <w:pPr>
        <w:spacing w:line="259" w:lineRule="auto"/>
        <w:ind w:left="79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numPr>
          <w:ilvl w:val="1"/>
          <w:numId w:val="4"/>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Based on the literature and your experience working with this indicator/model, is it </w:t>
      </w:r>
      <w:r w:rsidDel="00000000" w:rsidR="00000000" w:rsidRPr="00000000">
        <w:rPr>
          <w:rFonts w:ascii="Times New Roman" w:cs="Times New Roman" w:eastAsia="Times New Roman" w:hAnsi="Times New Roman"/>
          <w:b w:val="1"/>
          <w:bCs w:val="1"/>
          <w:sz w:val="24"/>
          <w:szCs w:val="24"/>
          <w:highlight w:val="white"/>
          <w:rtl w:val="0"/>
        </w:rPr>
        <w:t xml:space="preserve">possible to identify weaknesses in its calculations or assumptions? To facilitate your answer, you can focus on:</w:t>
      </w:r>
      <w:r w:rsidDel="00000000" w:rsidR="00000000" w:rsidRPr="00000000">
        <w:rPr>
          <w:rtl w:val="0"/>
        </w:rPr>
      </w:r>
    </w:p>
    <w:p w:rsidR="00000000" w:rsidDel="00000000" w:rsidP="00000000" w:rsidRDefault="00000000" w:rsidRPr="00000000" w14:paraId="0000004D">
      <w:pPr>
        <w:numPr>
          <w:ilvl w:val="0"/>
          <w:numId w:val="5"/>
        </w:numPr>
        <w:spacing w:line="259" w:lineRule="auto"/>
        <w:ind w:left="144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Potential biases</w:t>
      </w:r>
    </w:p>
    <w:p w:rsidR="00000000" w:rsidDel="00000000" w:rsidP="00000000" w:rsidRDefault="00000000" w:rsidRPr="00000000" w14:paraId="0000004E">
      <w:pPr>
        <w:numPr>
          <w:ilvl w:val="0"/>
          <w:numId w:val="5"/>
        </w:numPr>
        <w:spacing w:line="259" w:lineRule="auto"/>
        <w:ind w:left="144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Overestimation</w:t>
      </w:r>
    </w:p>
    <w:p w:rsidR="00000000" w:rsidDel="00000000" w:rsidP="00000000" w:rsidRDefault="00000000" w:rsidRPr="00000000" w14:paraId="0000004F">
      <w:pPr>
        <w:numPr>
          <w:ilvl w:val="0"/>
          <w:numId w:val="5"/>
        </w:numPr>
        <w:spacing w:line="259" w:lineRule="auto"/>
        <w:ind w:left="144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Underestimation</w:t>
      </w:r>
    </w:p>
    <w:p w:rsidR="00000000" w:rsidDel="00000000" w:rsidP="00000000" w:rsidRDefault="00000000" w:rsidRPr="00000000" w14:paraId="00000050">
      <w:pPr>
        <w:numPr>
          <w:ilvl w:val="0"/>
          <w:numId w:val="5"/>
        </w:numPr>
        <w:spacing w:line="259" w:lineRule="auto"/>
        <w:ind w:left="144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Omitted variables</w:t>
      </w:r>
    </w:p>
    <w:p w:rsidR="00000000" w:rsidDel="00000000" w:rsidP="00000000" w:rsidRDefault="00000000" w:rsidRPr="00000000" w14:paraId="00000051">
      <w:pPr>
        <w:numPr>
          <w:ilvl w:val="0"/>
          <w:numId w:val="5"/>
        </w:numPr>
        <w:spacing w:line="259" w:lineRule="auto"/>
        <w:ind w:left="144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Endogeneity</w:t>
      </w:r>
    </w:p>
    <w:p w:rsidR="00000000" w:rsidDel="00000000" w:rsidP="00000000" w:rsidRDefault="00000000" w:rsidRPr="00000000" w14:paraId="00000052">
      <w:pPr>
        <w:numPr>
          <w:ilvl w:val="0"/>
          <w:numId w:val="5"/>
        </w:numPr>
        <w:spacing w:line="259" w:lineRule="auto"/>
        <w:ind w:left="144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Datasets’ problems</w:t>
      </w:r>
    </w:p>
    <w:p w:rsidR="00000000" w:rsidDel="00000000" w:rsidP="00000000" w:rsidRDefault="00000000" w:rsidRPr="00000000" w14:paraId="00000053">
      <w:pPr>
        <w:spacing w:line="259"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spacing w:line="259"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limitations to our indicators related to validity and reliability. To assess these weaknesses, we conducted spot checks for each SIC code within and across each resource type. Due to limited RA hours, we were only able to spot check two census tracts across each  year of data per SIC code. Based on these spotchecks, we  provide a series of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queries and recommendations</w:t>
        </w:r>
      </w:hyperlink>
      <w:r w:rsidDel="00000000" w:rsidR="00000000" w:rsidRPr="00000000">
        <w:rPr>
          <w:rFonts w:ascii="Times New Roman" w:cs="Times New Roman" w:eastAsia="Times New Roman" w:hAnsi="Times New Roman"/>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(see attached doc). Note, we have included datasets with indicators in counts in their original form, as well as filtered datasets that incorporate these recommendations. Below, we summarize the weaknesses we found from these checks in accordance with your listed criteria. We also provide other limitations based on our assumptions. </w:t>
      </w:r>
    </w:p>
    <w:p w:rsidR="00000000" w:rsidDel="00000000" w:rsidP="00000000" w:rsidRDefault="00000000" w:rsidRPr="00000000" w14:paraId="00000055">
      <w:pPr>
        <w:spacing w:line="259"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Potential Biases.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Broad or heterogeneous SIC groupings (8062, 8111, 8399, 7011, 7021) may introduce classification bias. Healthcare (8062) and legal services (8111) may reflect multiple practitioners or services within the same location, while SIC 8399 may include organizations outside the intended social services category. Misclassification between hotels/motels, rooming and boarding houses, and residential care services (7011/7021) may also affect comparability across neighbourhoods.</w:t>
      </w:r>
    </w:p>
    <w:p w:rsidR="00000000" w:rsidDel="00000000" w:rsidP="00000000" w:rsidRDefault="00000000" w:rsidRPr="00000000" w14:paraId="00000057">
      <w:pPr>
        <w:spacing w:after="240" w:before="240" w:line="259"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8">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Overestimation. </w:t>
      </w:r>
      <w:r w:rsidDel="00000000" w:rsidR="00000000" w:rsidRPr="00000000">
        <w:rPr>
          <w:rFonts w:ascii="Times New Roman" w:cs="Times New Roman" w:eastAsia="Times New Roman" w:hAnsi="Times New Roman"/>
          <w:sz w:val="24"/>
          <w:szCs w:val="24"/>
          <w:rtl w:val="0"/>
        </w:rPr>
        <w:t xml:space="preserve">Resource counts may be inflated by duplicate listings, naming conventions, and multiple records representing the same location. Healthcare facilities may be overcounted when multiple services within one building are listed separately (8062), and legal services may be inflated when individual lawyers within one firm are counted as separate resources (8111). SIC 8399 and 7011/7021 may also include unrelated or misclassified establishments, increasing counts beyond the intended resource categories.</w:t>
      </w:r>
    </w:p>
    <w:p w:rsidR="00000000" w:rsidDel="00000000" w:rsidP="00000000" w:rsidRDefault="00000000" w:rsidRPr="00000000" w14:paraId="00000059">
      <w:pPr>
        <w:spacing w:after="240" w:before="240" w:line="259"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Omitted Variables/Information.</w:t>
      </w:r>
      <w:r w:rsidDel="00000000" w:rsidR="00000000" w:rsidRPr="00000000">
        <w:rPr>
          <w:rFonts w:ascii="Times New Roman" w:cs="Times New Roman" w:eastAsia="Times New Roman" w:hAnsi="Times New Roman"/>
          <w:sz w:val="24"/>
          <w:szCs w:val="24"/>
          <w:highlight w:val="white"/>
          <w:rtl w:val="0"/>
        </w:rPr>
        <w:t xml:space="preserve"> The indicators omit qualitative and distal aspects (capacity, quality, suitability, proximity). </w:t>
      </w:r>
    </w:p>
    <w:p w:rsidR="00000000" w:rsidDel="00000000" w:rsidP="00000000" w:rsidRDefault="00000000" w:rsidRPr="00000000" w14:paraId="0000005A">
      <w:pPr>
        <w:spacing w:line="259"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numPr>
          <w:ilvl w:val="0"/>
          <w:numId w:val="6"/>
        </w:numPr>
        <w:spacing w:line="259"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the indicator/model have other mathematical or computational versions (not syntax) to build it? (provide references)</w:t>
      </w:r>
    </w:p>
    <w:p w:rsidR="00000000" w:rsidDel="00000000" w:rsidP="00000000" w:rsidRDefault="00000000" w:rsidRPr="00000000" w14:paraId="0000005C">
      <w:pPr>
        <w:spacing w:line="259"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Python programming language is used to build the indicator. Shapefiles containing point records with associated x/y coordinates and categorical information are first downloaded from Scholar’s GeoPortal, as provided to the library by DMTI Spatial. Given a list of SIC codes corresponding to different types of CCNSRs and an additional shapefile of census geography boundaries in (multi)polygon format, points corresponding to each code are selected and counted within each polygon of the boundary shapefile. The scripts provide a CSV file containing the amount of points corresponding to each CCNSR category within each census geography polygon.</w:t>
      </w:r>
    </w:p>
    <w:p w:rsidR="00000000" w:rsidDel="00000000" w:rsidP="00000000" w:rsidRDefault="00000000" w:rsidRPr="00000000" w14:paraId="0000005E">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59" w:lineRule="auto"/>
        <w:ind w:left="792"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We have attached the </w:t>
      </w:r>
      <w:hyperlink r:id="rId9">
        <w:r w:rsidDel="00000000" w:rsidR="00000000" w:rsidRPr="00000000">
          <w:rPr>
            <w:rFonts w:ascii="Times New Roman" w:cs="Times New Roman" w:eastAsia="Times New Roman" w:hAnsi="Times New Roman"/>
            <w:color w:val="1155cc"/>
            <w:sz w:val="24"/>
            <w:szCs w:val="24"/>
            <w:u w:val="single"/>
            <w:rtl w:val="0"/>
          </w:rPr>
          <w:t xml:space="preserve">program </w:t>
        </w:r>
      </w:hyperlink>
      <w:r w:rsidDel="00000000" w:rsidR="00000000" w:rsidRPr="00000000">
        <w:rPr>
          <w:rFonts w:ascii="Times New Roman" w:cs="Times New Roman" w:eastAsia="Times New Roman" w:hAnsi="Times New Roman"/>
          <w:sz w:val="24"/>
          <w:szCs w:val="24"/>
          <w:rtl w:val="0"/>
        </w:rPr>
        <w:t xml:space="preserve">for future researchers’ reference. </w:t>
      </w:r>
      <w:r w:rsidDel="00000000" w:rsidR="00000000" w:rsidRPr="00000000">
        <w:rPr>
          <w:rtl w:val="0"/>
        </w:rPr>
      </w:r>
    </w:p>
    <w:p w:rsidR="00000000" w:rsidDel="00000000" w:rsidP="00000000" w:rsidRDefault="00000000" w:rsidRPr="00000000" w14:paraId="00000060">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1"/>
          <w:numId w:val="6"/>
        </w:numPr>
        <w:spacing w:line="259" w:lineRule="auto"/>
        <w:ind w:left="792" w:hanging="4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are you building the indicator/model as you propose? Are there advantages compared to other versions?</w:t>
      </w:r>
    </w:p>
    <w:p w:rsidR="00000000" w:rsidDel="00000000" w:rsidP="00000000" w:rsidRDefault="00000000" w:rsidRPr="00000000" w14:paraId="00000062">
      <w:pPr>
        <w:spacing w:line="259" w:lineRule="auto"/>
        <w:ind w:left="79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259" w:lineRule="auto"/>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decisions made apriori in the construction of these indicators that we justify below: </w:t>
      </w:r>
    </w:p>
    <w:p w:rsidR="00000000" w:rsidDel="00000000" w:rsidP="00000000" w:rsidRDefault="00000000" w:rsidRPr="00000000" w14:paraId="00000064">
      <w:pPr>
        <w:numPr>
          <w:ilvl w:val="0"/>
          <w:numId w:val="7"/>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use of DMTI data. </w:t>
      </w:r>
      <w:r w:rsidDel="00000000" w:rsidR="00000000" w:rsidRPr="00000000">
        <w:rPr>
          <w:rFonts w:ascii="Times New Roman" w:cs="Times New Roman" w:eastAsia="Times New Roman" w:hAnsi="Times New Roman"/>
          <w:sz w:val="24"/>
          <w:szCs w:val="24"/>
          <w:rtl w:val="0"/>
        </w:rPr>
        <w:t xml:space="preserve">These are the most comprehensive data for researcher access across Canada. These data are mapped using DMTI’s CanMap platform, ensuring accuracy and comprehensive coverage. It provides high-precision location-based datasets widely used in business, government, and academic research. The CanMap platform is refreshed quarterly for universities (via the Scholars GeoPortal licence) and monthly for enterprise users, giving rooftop-accurate layers that plug straight into ArcGIS, QGIS or Stata/GeoDa workflows. The upside for us and CSDUL is then quite apparent: instead of relying on coarse census proxies, we can model “real” community infrastructure at metre resolution.</w:t>
      </w:r>
    </w:p>
    <w:p w:rsidR="00000000" w:rsidDel="00000000" w:rsidP="00000000" w:rsidRDefault="00000000" w:rsidRPr="00000000" w14:paraId="00000065">
      <w:pPr>
        <w:numPr>
          <w:ilvl w:val="0"/>
          <w:numId w:val="7"/>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use of SIC codes versus other industry classification codes</w:t>
      </w:r>
      <w:r w:rsidDel="00000000" w:rsidR="00000000" w:rsidRPr="00000000">
        <w:rPr>
          <w:rFonts w:ascii="Times New Roman" w:cs="Times New Roman" w:eastAsia="Times New Roman" w:hAnsi="Times New Roman"/>
          <w:sz w:val="24"/>
          <w:szCs w:val="24"/>
          <w:rtl w:val="0"/>
        </w:rPr>
        <w:t xml:space="preserve">. In our prior study, (Young et al. 2024) we found that EPOIs contained far fewer missing primary SIC codes than NAICS codes. We also found that many food and education locations appearing in the dataset, for example, lacked a NAICS code yet still had a valid SIC code, demonstrating that a NAICS‑only pull would have underrepresented actual on‑the‑ground resources. </w:t>
      </w:r>
    </w:p>
    <w:p w:rsidR="00000000" w:rsidDel="00000000" w:rsidP="00000000" w:rsidRDefault="00000000" w:rsidRPr="00000000" w14:paraId="00000066">
      <w:pPr>
        <w:numPr>
          <w:ilvl w:val="0"/>
          <w:numId w:val="7"/>
        </w:numPr>
        <w:spacing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distribution of raw counts of resources. </w:t>
      </w:r>
      <w:r w:rsidDel="00000000" w:rsidR="00000000" w:rsidRPr="00000000">
        <w:rPr>
          <w:rFonts w:ascii="Times New Roman" w:cs="Times New Roman" w:eastAsia="Times New Roman" w:hAnsi="Times New Roman"/>
          <w:sz w:val="24"/>
          <w:szCs w:val="24"/>
          <w:rtl w:val="0"/>
        </w:rPr>
        <w:t xml:space="preserve">We provide recommendations above of how to alternately standardize the CCNSR counts for comparison across the selected geographical boundaries. However, we leave those decisions to the researcher using the data and provide recommendations, only with the data in raw form. </w:t>
      </w:r>
    </w:p>
    <w:p w:rsidR="00000000" w:rsidDel="00000000" w:rsidP="00000000" w:rsidRDefault="00000000" w:rsidRPr="00000000" w14:paraId="00000067">
      <w:pPr>
        <w:spacing w:line="259" w:lineRule="auto"/>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1"/>
        </w:numPr>
        <w:spacing w:after="160" w:line="259" w:lineRule="auto"/>
        <w:ind w:left="360"/>
        <w:rPr>
          <w:rFonts w:ascii="Times New Roman" w:cs="Times New Roman" w:eastAsia="Times New Roman" w:hAnsi="Times New Roman"/>
          <w:b w:val="1"/>
          <w:bCs w:val="1"/>
          <w:sz w:val="24"/>
          <w:szCs w:val="24"/>
        </w:rPr>
      </w:pPr>
      <w:bookmarkStart w:colFirst="0" w:colLast="0" w:name="_30j0zll" w:id="1"/>
      <w:bookmarkEnd w:id="1"/>
      <w:r w:rsidDel="00000000" w:rsidR="00000000" w:rsidRPr="00000000">
        <w:rPr>
          <w:rFonts w:ascii="Times New Roman" w:cs="Times New Roman" w:eastAsia="Times New Roman" w:hAnsi="Times New Roman"/>
          <w:b w:val="1"/>
          <w:bCs w:val="1"/>
          <w:sz w:val="24"/>
          <w:szCs w:val="24"/>
          <w:rtl w:val="0"/>
        </w:rPr>
        <w:t xml:space="preserve">Do you see potential improvements for the indicator/model? This could involve using other datasets, refining calculations, or modifying assumptions, among others.</w:t>
      </w:r>
    </w:p>
    <w:p w:rsidR="00000000" w:rsidDel="00000000" w:rsidP="00000000" w:rsidRDefault="00000000" w:rsidRPr="00000000" w14:paraId="00000069">
      <w:pPr>
        <w:spacing w:after="160" w:line="259" w:lineRule="auto"/>
        <w:ind w:left="1080" w:firstLine="0"/>
        <w:rPr>
          <w:rFonts w:ascii="Times New Roman" w:cs="Times New Roman" w:eastAsia="Times New Roman" w:hAnsi="Times New Roman"/>
          <w:sz w:val="24"/>
          <w:szCs w:val="24"/>
        </w:rPr>
      </w:pPr>
      <w:bookmarkStart w:colFirst="0" w:colLast="0" w:name="_uv7s65oct7he" w:id="2"/>
      <w:bookmarkEnd w:id="2"/>
      <w:r w:rsidDel="00000000" w:rsidR="00000000" w:rsidRPr="00000000">
        <w:rPr>
          <w:rFonts w:ascii="Times New Roman" w:cs="Times New Roman" w:eastAsia="Times New Roman" w:hAnsi="Times New Roman"/>
          <w:sz w:val="24"/>
          <w:szCs w:val="24"/>
          <w:rtl w:val="0"/>
        </w:rPr>
        <w:t xml:space="preserve">We note the following improvements could be undertaken to ensure greater validity of our CCNSR indicator. </w:t>
      </w:r>
    </w:p>
    <w:p w:rsidR="00000000" w:rsidDel="00000000" w:rsidP="00000000" w:rsidRDefault="00000000" w:rsidRPr="00000000" w14:paraId="0000006A">
      <w:pPr>
        <w:numPr>
          <w:ilvl w:val="0"/>
          <w:numId w:val="8"/>
        </w:numPr>
        <w:spacing w:line="259" w:lineRule="auto"/>
        <w:ind w:left="1440" w:hanging="360"/>
        <w:rPr>
          <w:rFonts w:ascii="Times New Roman" w:cs="Times New Roman" w:eastAsia="Times New Roman" w:hAnsi="Times New Roman"/>
          <w:sz w:val="24"/>
          <w:szCs w:val="24"/>
        </w:rPr>
      </w:pPr>
      <w:bookmarkStart w:colFirst="0" w:colLast="0" w:name="_c45g4fw97u98" w:id="3"/>
      <w:bookmarkEnd w:id="3"/>
      <w:r w:rsidDel="00000000" w:rsidR="00000000" w:rsidRPr="00000000">
        <w:rPr>
          <w:rFonts w:ascii="Times New Roman" w:cs="Times New Roman" w:eastAsia="Times New Roman" w:hAnsi="Times New Roman"/>
          <w:sz w:val="24"/>
          <w:szCs w:val="24"/>
          <w:rtl w:val="0"/>
        </w:rPr>
        <w:t xml:space="preserve">Additional spotchecking would be helpful as we add other SIC codes as indicators. </w:t>
      </w:r>
    </w:p>
    <w:p w:rsidR="00000000" w:rsidDel="00000000" w:rsidP="00000000" w:rsidRDefault="00000000" w:rsidRPr="00000000" w14:paraId="0000006B">
      <w:pPr>
        <w:numPr>
          <w:ilvl w:val="0"/>
          <w:numId w:val="8"/>
        </w:numPr>
        <w:spacing w:line="259" w:lineRule="auto"/>
        <w:ind w:left="1440" w:hanging="360"/>
        <w:rPr>
          <w:rFonts w:ascii="Times New Roman" w:cs="Times New Roman" w:eastAsia="Times New Roman" w:hAnsi="Times New Roman"/>
          <w:sz w:val="24"/>
          <w:szCs w:val="24"/>
        </w:rPr>
      </w:pPr>
      <w:bookmarkStart w:colFirst="0" w:colLast="0" w:name="_3xhv9ebrmb45" w:id="4"/>
      <w:bookmarkEnd w:id="4"/>
      <w:r w:rsidDel="00000000" w:rsidR="00000000" w:rsidRPr="00000000">
        <w:rPr>
          <w:rFonts w:ascii="Times New Roman" w:cs="Times New Roman" w:eastAsia="Times New Roman" w:hAnsi="Times New Roman"/>
          <w:sz w:val="24"/>
          <w:szCs w:val="24"/>
          <w:rtl w:val="0"/>
        </w:rPr>
        <w:t xml:space="preserve">Secondary validations of proximity of resources to residents based on alternate data sources could be undertaken (i.e., case studies of certain census tracts). </w:t>
      </w:r>
      <w:r w:rsidDel="00000000" w:rsidR="00000000" w:rsidRPr="00000000">
        <w:rPr>
          <w:rFonts w:ascii="Times New Roman" w:cs="Times New Roman" w:eastAsia="Times New Roman" w:hAnsi="Times New Roman"/>
          <w:sz w:val="24"/>
          <w:szCs w:val="24"/>
          <w:rtl w:val="0"/>
        </w:rPr>
        <w:t xml:space="preserve">Following from these</w:t>
      </w:r>
      <w:r w:rsidDel="00000000" w:rsidR="00000000" w:rsidRPr="00000000">
        <w:rPr>
          <w:rFonts w:ascii="Times New Roman" w:cs="Times New Roman" w:eastAsia="Times New Roman" w:hAnsi="Times New Roman"/>
          <w:sz w:val="24"/>
          <w:szCs w:val="24"/>
          <w:rtl w:val="0"/>
        </w:rPr>
        <w:t xml:space="preserve"> secondary sets of analyses, an average “error term” could be incorporated into the CCNSR indicators to correct for distance / proximity of residents to a given resource. </w:t>
      </w:r>
    </w:p>
    <w:p w:rsidR="00000000" w:rsidDel="00000000" w:rsidP="00000000" w:rsidRDefault="00000000" w:rsidRPr="00000000" w14:paraId="0000006C">
      <w:pPr>
        <w:numPr>
          <w:ilvl w:val="0"/>
          <w:numId w:val="8"/>
        </w:numPr>
        <w:spacing w:line="259" w:lineRule="auto"/>
        <w:ind w:left="1440" w:hanging="360"/>
        <w:rPr>
          <w:rFonts w:ascii="Times New Roman" w:cs="Times New Roman" w:eastAsia="Times New Roman" w:hAnsi="Times New Roman"/>
          <w:sz w:val="24"/>
          <w:szCs w:val="24"/>
        </w:rPr>
      </w:pPr>
      <w:bookmarkStart w:colFirst="0" w:colLast="0" w:name="_ice6pzxykywm" w:id="5"/>
      <w:bookmarkEnd w:id="5"/>
      <w:r w:rsidDel="00000000" w:rsidR="00000000" w:rsidRPr="00000000">
        <w:rPr>
          <w:rFonts w:ascii="Times New Roman" w:cs="Times New Roman" w:eastAsia="Times New Roman" w:hAnsi="Times New Roman"/>
          <w:sz w:val="24"/>
          <w:szCs w:val="24"/>
          <w:rtl w:val="0"/>
        </w:rPr>
        <w:t xml:space="preserve">When modelling these indicators with individual-level resident data, incorporate CCNSR from contiguous (adjacent) neighbourhoods, since residents’ effective proximity to resources often extends beyond the boundaries of their own census tract and may depend on amenities located just across a tract line.</w:t>
      </w:r>
    </w:p>
    <w:p w:rsidR="00000000" w:rsidDel="00000000" w:rsidP="00000000" w:rsidRDefault="00000000" w:rsidRPr="00000000" w14:paraId="0000006D">
      <w:pPr>
        <w:numPr>
          <w:ilvl w:val="0"/>
          <w:numId w:val="8"/>
        </w:numPr>
        <w:spacing w:line="240" w:lineRule="auto"/>
        <w:ind w:left="1440" w:hanging="360"/>
        <w:rPr>
          <w:rFonts w:ascii="Times New Roman" w:cs="Times New Roman" w:eastAsia="Times New Roman" w:hAnsi="Times New Roman"/>
          <w:sz w:val="24"/>
          <w:szCs w:val="24"/>
        </w:rPr>
      </w:pPr>
      <w:bookmarkStart w:colFirst="0" w:colLast="0" w:name="_cawx0bgc35ub" w:id="6"/>
      <w:bookmarkEnd w:id="6"/>
      <w:r w:rsidDel="00000000" w:rsidR="00000000" w:rsidRPr="00000000">
        <w:rPr>
          <w:rFonts w:ascii="Times New Roman" w:cs="Times New Roman" w:eastAsia="Times New Roman" w:hAnsi="Times New Roman"/>
          <w:sz w:val="24"/>
          <w:szCs w:val="24"/>
          <w:rtl w:val="0"/>
        </w:rPr>
        <w:t xml:space="preserve">The 2014 data are missing from DMTI Spatial Inc. After inquiring, it appears they simply didn’t collect data this year. It might make sense to average the values from 2013 and 2015 to get counts for 2014 across the CCNSR.</w:t>
      </w:r>
    </w:p>
    <w:p w:rsidR="00000000" w:rsidDel="00000000" w:rsidP="00000000" w:rsidRDefault="00000000" w:rsidRPr="00000000" w14:paraId="0000006E">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Services (SIC 8062): Re-evaluate verification and counting procedures to reduce inflated healthcare resource counts caused by duplicate naming conventions or multiple services being listed within the same facility.</w:t>
      </w:r>
    </w:p>
    <w:p w:rsidR="00000000" w:rsidDel="00000000" w:rsidP="00000000" w:rsidRDefault="00000000" w:rsidRPr="00000000" w14:paraId="0000006F">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Services (SIC 8111): Re-evaluate verification and counting procedures to prevent overcounting of individual practitioners within the same law firm. Avoid removing duplicates solely based on address, as this may unintentionally remove other distinct resources located at the same address.</w:t>
      </w:r>
    </w:p>
    <w:p w:rsidR="00000000" w:rsidDel="00000000" w:rsidP="00000000" w:rsidRDefault="00000000" w:rsidRPr="00000000" w14:paraId="00000070">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Services (SIC 8399): Screen SIC 8399 entries to remove organizations that do not provide social or human services (e.g., wildlife protection agencies or unrelated charitable organizations). Consider excluding SIC 8399 from broader social service indicators if classification remains inconsistent.</w:t>
      </w:r>
    </w:p>
    <w:p w:rsidR="00000000" w:rsidDel="00000000" w:rsidP="00000000" w:rsidRDefault="00000000" w:rsidRPr="00000000" w14:paraId="00000071">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Hotels, Motels, and Residential Services (SIC 7011/7021): Review and validate SIC 7011 and 7021 entries to reduce misclassification between hotels/motels, rooming and boarding houses, residential care facilities, and hospice services.</w:t>
      </w:r>
    </w:p>
    <w:p w:rsidR="00000000" w:rsidDel="00000000" w:rsidP="00000000" w:rsidRDefault="00000000" w:rsidRPr="00000000" w14:paraId="00000072">
      <w:pPr>
        <w:spacing w:after="240" w:line="259" w:lineRule="auto"/>
        <w:rPr>
          <w:rFonts w:ascii="Times New Roman" w:cs="Times New Roman" w:eastAsia="Times New Roman" w:hAnsi="Times New Roman"/>
          <w:sz w:val="24"/>
          <w:szCs w:val="24"/>
        </w:rPr>
      </w:pPr>
      <w:bookmarkStart w:colFirst="0" w:colLast="0" w:name="_h5npg7kftsje" w:id="7"/>
      <w:bookmarkEnd w:id="7"/>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What inputs are to be added to CSDUL? Write “X”</w:t>
      </w:r>
    </w:p>
    <w:tbl>
      <w:tblPr>
        <w:tblStyle w:val="Table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
        <w:gridCol w:w="9413"/>
        <w:tblGridChange w:id="0">
          <w:tblGrid>
            <w:gridCol w:w="549"/>
            <w:gridCol w:w="9413"/>
          </w:tblGrid>
        </w:tblGridChange>
      </w:tblGrid>
      <w:tr>
        <w:trPr>
          <w:cantSplit w:val="0"/>
          <w:tblHeader w:val="0"/>
        </w:trPr>
        <w:tc>
          <w:tcPr>
            <w:vAlign w:val="center"/>
          </w:tcPr>
          <w:p w:rsidR="00000000" w:rsidDel="00000000" w:rsidP="00000000" w:rsidRDefault="00000000" w:rsidRPr="00000000" w14:paraId="00000076">
            <w:pPr>
              <w:spacing w:line="240" w:lineRule="auto"/>
              <w:rPr>
                <w:b w:val="1"/>
                <w:bCs w:val="1"/>
                <w:sz w:val="24"/>
                <w:szCs w:val="24"/>
              </w:rPr>
            </w:pPr>
            <w:r w:rsidDel="00000000" w:rsidR="00000000" w:rsidRPr="00000000">
              <w:rPr>
                <w:b w:val="1"/>
                <w:bCs w:val="1"/>
                <w:sz w:val="24"/>
                <w:szCs w:val="24"/>
                <w:rtl w:val="0"/>
              </w:rPr>
              <w:t xml:space="preserve">X</w:t>
            </w:r>
          </w:p>
        </w:tc>
        <w:tc>
          <w:tcPr>
            <w:vAlign w:val="center"/>
          </w:tcPr>
          <w:p w:rsidR="00000000" w:rsidDel="00000000" w:rsidP="00000000" w:rsidRDefault="00000000" w:rsidRPr="00000000" w14:paraId="0000007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or intermediate datasets required to create the indicator/model.</w:t>
            </w:r>
          </w:p>
        </w:tc>
      </w:tr>
      <w:tr>
        <w:trPr>
          <w:cantSplit w:val="0"/>
          <w:tblHeader w:val="0"/>
        </w:trPr>
        <w:tc>
          <w:tcPr>
            <w:vAlign w:val="center"/>
          </w:tcPr>
          <w:p w:rsidR="00000000" w:rsidDel="00000000" w:rsidP="00000000" w:rsidRDefault="00000000" w:rsidRPr="00000000" w14:paraId="00000078">
            <w:pPr>
              <w:spacing w:line="240" w:lineRule="auto"/>
              <w:rPr>
                <w:b w:val="1"/>
                <w:bCs w:val="1"/>
                <w:sz w:val="24"/>
                <w:szCs w:val="24"/>
              </w:rPr>
            </w:pPr>
            <w:r w:rsidDel="00000000" w:rsidR="00000000" w:rsidRPr="00000000">
              <w:rPr>
                <w:b w:val="1"/>
                <w:bCs w:val="1"/>
                <w:sz w:val="24"/>
                <w:szCs w:val="24"/>
                <w:rtl w:val="0"/>
              </w:rPr>
              <w:t xml:space="preserve">X</w:t>
            </w:r>
          </w:p>
        </w:tc>
        <w:tc>
          <w:tcPr>
            <w:vAlign w:val="center"/>
          </w:tcPr>
          <w:p w:rsidR="00000000" w:rsidDel="00000000" w:rsidP="00000000" w:rsidRDefault="00000000" w:rsidRPr="00000000" w14:paraId="00000079">
            <w:pPr>
              <w:spacing w:after="160" w:line="259"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Codes that create the indicator/model (be sure that your code is clear enough to be replicated in the future for yourself or any other researcher).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line="240" w:lineRule="auto"/>
              <w:rPr>
                <w:b w:val="1"/>
                <w:bCs w:val="1"/>
                <w:sz w:val="24"/>
                <w:szCs w:val="24"/>
              </w:rPr>
            </w:pPr>
            <w:r w:rsidDel="00000000" w:rsidR="00000000" w:rsidRPr="00000000">
              <w:rPr>
                <w:b w:val="1"/>
                <w:bCs w:val="1"/>
                <w:sz w:val="24"/>
                <w:szCs w:val="24"/>
                <w:rtl w:val="0"/>
              </w:rPr>
              <w:t xml:space="preserve">X</w:t>
            </w:r>
          </w:p>
        </w:tc>
        <w:tc>
          <w:tcPr>
            <w:vAlign w:val="center"/>
          </w:tcPr>
          <w:p w:rsidR="00000000" w:rsidDel="00000000" w:rsidP="00000000" w:rsidRDefault="00000000" w:rsidRPr="00000000" w14:paraId="0000007B">
            <w:pPr>
              <w:spacing w:after="160" w:line="259"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Documentation that explains step by step the entire process that builds the indicator or model.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line="240" w:lineRule="auto"/>
              <w:rPr>
                <w:b w:val="1"/>
                <w:bCs w:val="1"/>
                <w:sz w:val="24"/>
                <w:szCs w:val="24"/>
              </w:rPr>
            </w:pPr>
            <w:r w:rsidDel="00000000" w:rsidR="00000000" w:rsidRPr="00000000">
              <w:rPr>
                <w:b w:val="1"/>
                <w:bCs w:val="1"/>
                <w:sz w:val="24"/>
                <w:szCs w:val="24"/>
                <w:rtl w:val="0"/>
              </w:rPr>
              <w:t xml:space="preserve">X</w:t>
            </w:r>
          </w:p>
        </w:tc>
        <w:tc>
          <w:tcPr>
            <w:vAlign w:val="center"/>
          </w:tcPr>
          <w:p w:rsidR="00000000" w:rsidDel="00000000" w:rsidP="00000000" w:rsidRDefault="00000000" w:rsidRPr="00000000" w14:paraId="0000007D">
            <w:pPr>
              <w:spacing w:after="160" w:line="259"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Results, which consist of the list of variables, indicators, or model results.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spacing w:line="240" w:lineRule="auto"/>
              <w:rPr>
                <w:b w:val="1"/>
                <w:bCs w:val="1"/>
                <w:sz w:val="24"/>
                <w:szCs w:val="24"/>
              </w:rPr>
            </w:pPr>
            <w:r w:rsidDel="00000000" w:rsidR="00000000" w:rsidRPr="00000000">
              <w:rPr>
                <w:b w:val="1"/>
                <w:bCs w:val="1"/>
                <w:sz w:val="24"/>
                <w:szCs w:val="24"/>
                <w:rtl w:val="0"/>
              </w:rPr>
              <w:t xml:space="preserve">X</w:t>
            </w:r>
          </w:p>
        </w:tc>
        <w:tc>
          <w:tcPr>
            <w:vAlign w:val="center"/>
          </w:tcPr>
          <w:p w:rsidR="00000000" w:rsidDel="00000000" w:rsidP="00000000" w:rsidRDefault="00000000" w:rsidRPr="00000000" w14:paraId="0000007F">
            <w:pPr>
              <w:spacing w:after="160" w:line="259"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Support files. They can be papers, chapter books, codes, etc.</w:t>
            </w:r>
            <w:r w:rsidDel="00000000" w:rsidR="00000000" w:rsidRPr="00000000">
              <w:rPr>
                <w:rtl w:val="0"/>
              </w:rPr>
            </w:r>
          </w:p>
        </w:tc>
      </w:tr>
    </w:tbl>
    <w:p w:rsidR="00000000" w:rsidDel="00000000" w:rsidP="00000000" w:rsidRDefault="00000000" w:rsidRPr="00000000" w14:paraId="0000008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1">
      <w:pPr>
        <w:spacing w:after="160" w:line="259"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References</w:t>
      </w: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Klinenberg, E. (2018). </w:t>
      </w:r>
      <w:r w:rsidDel="00000000" w:rsidR="00000000" w:rsidRPr="00000000">
        <w:rPr>
          <w:rFonts w:ascii="Times New Roman" w:cs="Times New Roman" w:eastAsia="Times New Roman" w:hAnsi="Times New Roman"/>
          <w:i w:val="1"/>
          <w:iCs w:val="1"/>
          <w:rtl w:val="0"/>
        </w:rPr>
        <w:t xml:space="preserve">Palaces for the People</w:t>
      </w:r>
      <w:r w:rsidDel="00000000" w:rsidR="00000000" w:rsidRPr="00000000">
        <w:rPr>
          <w:rFonts w:ascii="Times New Roman" w:cs="Times New Roman" w:eastAsia="Times New Roman" w:hAnsi="Times New Roman"/>
          <w:rtl w:val="0"/>
        </w:rPr>
        <w:t xml:space="preserve">. Crown. </w:t>
      </w:r>
    </w:p>
    <w:p w:rsidR="00000000" w:rsidDel="00000000" w:rsidP="00000000" w:rsidRDefault="00000000" w:rsidRPr="00000000" w14:paraId="000000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Marisa, Sean Leipe, and Diana Singh. 2023. “Best Practices for Measuring Community Characteristics Across Canada.” </w:t>
      </w:r>
      <w:r w:rsidDel="00000000" w:rsidR="00000000" w:rsidRPr="00000000">
        <w:rPr>
          <w:rFonts w:ascii="Times New Roman" w:cs="Times New Roman" w:eastAsia="Times New Roman" w:hAnsi="Times New Roman"/>
          <w:i w:val="1"/>
          <w:iCs w:val="1"/>
          <w:rtl w:val="0"/>
        </w:rPr>
        <w:t xml:space="preserve">Canadian Geographer, 68</w:t>
      </w:r>
      <w:r w:rsidDel="00000000" w:rsidR="00000000" w:rsidRPr="00000000">
        <w:rPr>
          <w:rFonts w:ascii="Times New Roman" w:cs="Times New Roman" w:eastAsia="Times New Roman" w:hAnsi="Times New Roman"/>
          <w:rtl w:val="0"/>
        </w:rPr>
        <w:t xml:space="preserve">(1): 115-28.  </w:t>
      </w:r>
    </w:p>
    <w:p w:rsidR="00000000" w:rsidDel="00000000" w:rsidP="00000000" w:rsidRDefault="00000000" w:rsidRPr="00000000" w14:paraId="000000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Marisa and Diana Singh. 2024. “The Canadian Family-Friendly Community Resources for Better Balance, Health and Well-Being Study.” </w:t>
      </w:r>
      <w:r w:rsidDel="00000000" w:rsidR="00000000" w:rsidRPr="00000000">
        <w:rPr>
          <w:rFonts w:ascii="Times New Roman" w:cs="Times New Roman" w:eastAsia="Times New Roman" w:hAnsi="Times New Roman"/>
          <w:i w:val="1"/>
          <w:iCs w:val="1"/>
          <w:rtl w:val="0"/>
        </w:rPr>
        <w:t xml:space="preserve">Community, Work &amp; Family, 27</w:t>
      </w:r>
      <w:r w:rsidDel="00000000" w:rsidR="00000000" w:rsidRPr="00000000">
        <w:rPr>
          <w:rFonts w:ascii="Times New Roman" w:cs="Times New Roman" w:eastAsia="Times New Roman" w:hAnsi="Times New Roman"/>
          <w:rtl w:val="0"/>
        </w:rPr>
        <w:t xml:space="preserve">(4): 472-98. </w:t>
      </w:r>
    </w:p>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lowerLetter"/>
      <w:lvlText w:val="%3)"/>
      <w:lvlJc w:val="left"/>
      <w:pPr>
        <w:ind w:left="1080" w:hanging="360"/>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4">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5">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6">
    <w:lvl w:ilvl="0">
      <w:start w:val="3"/>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sF2ND85ZLBVjetXMWRiwyUYXk6R7HWrRMnWOeGivTI/edit?usp=drive_link" TargetMode="External"/><Relationship Id="rId5" Type="http://schemas.openxmlformats.org/officeDocument/2006/relationships/styles" Target="styles.xml"/><Relationship Id="rId6" Type="http://schemas.openxmlformats.org/officeDocument/2006/relationships/hyperlink" Target="https://docs.google.com/document/d/1t4_Bh5pRtHzd8GQ3ifJWY2zjjjch8DFf/edit" TargetMode="External"/><Relationship Id="rId7" Type="http://schemas.openxmlformats.org/officeDocument/2006/relationships/hyperlink" Target="https://drive.google.com/file/d/1emOEWLaWxJeFzedKeXp3pVlLs7z3XUmz/view" TargetMode="External"/><Relationship Id="rId8" Type="http://schemas.openxmlformats.org/officeDocument/2006/relationships/hyperlink" Target="https://docs.google.com/document/d/1lycc3JaAVn4PNslXmE6TZal_w3pEEPt2/edit?usp=drive_link&amp;ouid=11504368107655616815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