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B89" w:rsidRPr="00061B89" w:rsidRDefault="00061B89" w:rsidP="00061B89">
      <w:pPr>
        <w:pBdr>
          <w:top w:val="single" w:sz="6" w:space="15" w:color="E1E1E1"/>
        </w:pBdr>
        <w:shd w:val="clear" w:color="auto" w:fill="FFFFFF"/>
        <w:spacing w:after="300" w:line="360" w:lineRule="auto"/>
        <w:textAlignment w:val="baseline"/>
        <w:outlineLvl w:val="1"/>
        <w:rPr>
          <w:rFonts w:ascii="Georgia" w:eastAsia="Times New Roman" w:hAnsi="Georgia" w:cs="Times New Roman"/>
          <w:color w:val="333333"/>
          <w:sz w:val="54"/>
          <w:szCs w:val="54"/>
        </w:rPr>
      </w:pPr>
      <w:r w:rsidRPr="00061B89">
        <w:rPr>
          <w:rFonts w:ascii="Georgia" w:eastAsia="Times New Roman" w:hAnsi="Georgia" w:cs="Times New Roman"/>
          <w:color w:val="333333"/>
          <w:sz w:val="54"/>
          <w:szCs w:val="54"/>
        </w:rPr>
        <w:t>Discussion of Balance Sheet</w:t>
      </w:r>
    </w:p>
    <w:p w:rsidR="00061B89" w:rsidRPr="00061B89" w:rsidRDefault="00061B89" w:rsidP="00061B89">
      <w:pPr>
        <w:shd w:val="clear" w:color="auto" w:fill="FFFFFF"/>
        <w:spacing w:after="300" w:line="360" w:lineRule="auto"/>
        <w:textAlignment w:val="baseline"/>
        <w:rPr>
          <w:rFonts w:ascii="Century Gothic" w:eastAsia="Times New Roman" w:hAnsi="Century Gothic" w:cs="Helvetica"/>
          <w:color w:val="333333"/>
          <w:sz w:val="24"/>
          <w:szCs w:val="24"/>
        </w:rPr>
      </w:pPr>
      <w:r w:rsidRPr="00061B89">
        <w:rPr>
          <w:rFonts w:ascii="Century Gothic" w:eastAsia="Times New Roman" w:hAnsi="Century Gothic" w:cs="Helvetica"/>
          <w:color w:val="333333"/>
          <w:sz w:val="24"/>
          <w:szCs w:val="24"/>
        </w:rPr>
        <w:t>The balance sheet reports a company's assets, liabilities, and stockholders' equity as of a specific date, such as December 31, 2017, March 31, 2017, etc.</w:t>
      </w:r>
    </w:p>
    <w:p w:rsidR="00061B89" w:rsidRDefault="00061B89" w:rsidP="00061B89">
      <w:pPr>
        <w:shd w:val="clear" w:color="auto" w:fill="FFFFFF"/>
        <w:spacing w:after="0" w:line="360" w:lineRule="auto"/>
        <w:textAlignment w:val="baseline"/>
        <w:rPr>
          <w:rFonts w:ascii="Century Gothic" w:eastAsia="Times New Roman" w:hAnsi="Century Gothic" w:cs="Helvetica"/>
          <w:color w:val="333333"/>
          <w:sz w:val="24"/>
          <w:szCs w:val="24"/>
        </w:rPr>
      </w:pPr>
      <w:r w:rsidRPr="00061B89">
        <w:rPr>
          <w:rFonts w:ascii="Century Gothic" w:eastAsia="Times New Roman" w:hAnsi="Century Gothic" w:cs="Helvetica"/>
          <w:color w:val="333333"/>
          <w:sz w:val="24"/>
          <w:szCs w:val="24"/>
        </w:rPr>
        <w:t>The accountants' </w:t>
      </w:r>
      <w:hyperlink r:id="rId5" w:history="1">
        <w:r w:rsidRPr="00061B89">
          <w:rPr>
            <w:rFonts w:ascii="Century Gothic" w:eastAsia="Times New Roman" w:hAnsi="Century Gothic" w:cs="Helvetica"/>
            <w:color w:val="333333"/>
            <w:sz w:val="24"/>
            <w:szCs w:val="24"/>
            <w:bdr w:val="none" w:sz="0" w:space="0" w:color="auto" w:frame="1"/>
          </w:rPr>
          <w:t>cost principle</w:t>
        </w:r>
      </w:hyperlink>
      <w:r w:rsidRPr="00061B89">
        <w:rPr>
          <w:rFonts w:ascii="Century Gothic" w:eastAsia="Times New Roman" w:hAnsi="Century Gothic" w:cs="Helvetica"/>
          <w:color w:val="333333"/>
          <w:sz w:val="24"/>
          <w:szCs w:val="24"/>
          <w:bdr w:val="none" w:sz="0" w:space="0" w:color="auto" w:frame="1"/>
        </w:rPr>
        <w:t> </w:t>
      </w:r>
      <w:r w:rsidRPr="00061B89">
        <w:rPr>
          <w:rFonts w:ascii="Century Gothic" w:eastAsia="Times New Roman" w:hAnsi="Century Gothic" w:cs="Helvetica"/>
          <w:color w:val="333333"/>
          <w:sz w:val="24"/>
          <w:szCs w:val="24"/>
        </w:rPr>
        <w:t>and the </w:t>
      </w:r>
      <w:hyperlink r:id="rId6" w:history="1">
        <w:r w:rsidRPr="00061B89">
          <w:rPr>
            <w:rFonts w:ascii="Century Gothic" w:eastAsia="Times New Roman" w:hAnsi="Century Gothic" w:cs="Helvetica"/>
            <w:color w:val="333333"/>
            <w:sz w:val="24"/>
            <w:szCs w:val="24"/>
            <w:bdr w:val="none" w:sz="0" w:space="0" w:color="auto" w:frame="1"/>
          </w:rPr>
          <w:t>monetary unit assumption</w:t>
        </w:r>
      </w:hyperlink>
      <w:r w:rsidRPr="00061B89">
        <w:rPr>
          <w:rFonts w:ascii="Century Gothic" w:eastAsia="Times New Roman" w:hAnsi="Century Gothic" w:cs="Helvetica"/>
          <w:color w:val="333333"/>
          <w:sz w:val="24"/>
          <w:szCs w:val="24"/>
          <w:bdr w:val="none" w:sz="0" w:space="0" w:color="auto" w:frame="1"/>
        </w:rPr>
        <w:t> </w:t>
      </w:r>
      <w:r w:rsidRPr="00061B89">
        <w:rPr>
          <w:rFonts w:ascii="Century Gothic" w:eastAsia="Times New Roman" w:hAnsi="Century Gothic" w:cs="Helvetica"/>
          <w:color w:val="333333"/>
          <w:sz w:val="24"/>
          <w:szCs w:val="24"/>
        </w:rPr>
        <w:t xml:space="preserve">will limit the assets reported on the balance sheet. </w:t>
      </w:r>
    </w:p>
    <w:p w:rsidR="00061B89" w:rsidRDefault="00061B89" w:rsidP="00061B89">
      <w:pPr>
        <w:shd w:val="clear" w:color="auto" w:fill="FFFFFF"/>
        <w:spacing w:after="0" w:line="360" w:lineRule="auto"/>
        <w:textAlignment w:val="baseline"/>
        <w:rPr>
          <w:rFonts w:ascii="Century Gothic" w:eastAsia="Times New Roman" w:hAnsi="Century Gothic" w:cs="Helvetica"/>
          <w:color w:val="333333"/>
          <w:sz w:val="24"/>
          <w:szCs w:val="24"/>
        </w:rPr>
      </w:pPr>
    </w:p>
    <w:p w:rsidR="00061B89" w:rsidRPr="00061B89" w:rsidRDefault="00061B89" w:rsidP="00061B89">
      <w:pPr>
        <w:shd w:val="clear" w:color="auto" w:fill="FFFFFF"/>
        <w:spacing w:after="0" w:line="360" w:lineRule="auto"/>
        <w:textAlignment w:val="baseline"/>
        <w:rPr>
          <w:rFonts w:ascii="Century Gothic" w:eastAsia="Times New Roman" w:hAnsi="Century Gothic" w:cs="Helvetica"/>
          <w:b/>
          <w:color w:val="C00000"/>
          <w:sz w:val="24"/>
          <w:szCs w:val="24"/>
        </w:rPr>
      </w:pPr>
      <w:r w:rsidRPr="00061B89">
        <w:rPr>
          <w:rFonts w:ascii="Century Gothic" w:eastAsia="Times New Roman" w:hAnsi="Century Gothic" w:cs="Helvetica"/>
          <w:b/>
          <w:color w:val="C00000"/>
          <w:sz w:val="24"/>
          <w:szCs w:val="24"/>
        </w:rPr>
        <w:t>Assets will be reported</w:t>
      </w:r>
    </w:p>
    <w:p w:rsidR="00061B89" w:rsidRPr="00061B89" w:rsidRDefault="00061B89" w:rsidP="00061B89">
      <w:pPr>
        <w:shd w:val="clear" w:color="auto" w:fill="FFFFFF"/>
        <w:spacing w:after="300" w:line="360" w:lineRule="auto"/>
        <w:textAlignment w:val="baseline"/>
        <w:rPr>
          <w:rFonts w:ascii="Century Gothic" w:eastAsia="Times New Roman" w:hAnsi="Century Gothic" w:cs="Helvetica"/>
          <w:color w:val="333333"/>
          <w:sz w:val="24"/>
          <w:szCs w:val="24"/>
        </w:rPr>
      </w:pPr>
      <w:r w:rsidRPr="00061B89">
        <w:rPr>
          <w:rFonts w:ascii="Century Gothic" w:eastAsia="Times New Roman" w:hAnsi="Century Gothic" w:cs="Helvetica"/>
          <w:color w:val="333333"/>
          <w:sz w:val="24"/>
          <w:szCs w:val="24"/>
        </w:rPr>
        <w:t xml:space="preserve">(1) </w:t>
      </w:r>
      <w:proofErr w:type="gramStart"/>
      <w:r w:rsidRPr="00061B89">
        <w:rPr>
          <w:rFonts w:ascii="Century Gothic" w:eastAsia="Times New Roman" w:hAnsi="Century Gothic" w:cs="Helvetica"/>
          <w:color w:val="333333"/>
          <w:sz w:val="24"/>
          <w:szCs w:val="24"/>
        </w:rPr>
        <w:t>only</w:t>
      </w:r>
      <w:proofErr w:type="gramEnd"/>
      <w:r w:rsidRPr="00061B89">
        <w:rPr>
          <w:rFonts w:ascii="Century Gothic" w:eastAsia="Times New Roman" w:hAnsi="Century Gothic" w:cs="Helvetica"/>
          <w:color w:val="333333"/>
          <w:sz w:val="24"/>
          <w:szCs w:val="24"/>
        </w:rPr>
        <w:t xml:space="preserve"> if they were acquired in a transaction, and</w:t>
      </w:r>
      <w:r w:rsidRPr="00061B89">
        <w:rPr>
          <w:rFonts w:ascii="Century Gothic" w:eastAsia="Times New Roman" w:hAnsi="Century Gothic" w:cs="Helvetica"/>
          <w:color w:val="333333"/>
          <w:sz w:val="24"/>
          <w:szCs w:val="24"/>
        </w:rPr>
        <w:br/>
        <w:t>(2) generally at an amount that is not greater than the asset's cost at the time of the transaction.</w:t>
      </w:r>
    </w:p>
    <w:p w:rsidR="00061B89" w:rsidRPr="00061B89" w:rsidRDefault="00061B89" w:rsidP="00061B89">
      <w:pPr>
        <w:shd w:val="clear" w:color="auto" w:fill="FFFFFF"/>
        <w:spacing w:after="300" w:line="360" w:lineRule="auto"/>
        <w:textAlignment w:val="baseline"/>
        <w:rPr>
          <w:rFonts w:ascii="Century Gothic" w:eastAsia="Times New Roman" w:hAnsi="Century Gothic" w:cs="Helvetica"/>
          <w:color w:val="333333"/>
          <w:sz w:val="24"/>
          <w:szCs w:val="24"/>
        </w:rPr>
      </w:pPr>
      <w:r w:rsidRPr="00061B89">
        <w:rPr>
          <w:rFonts w:ascii="Century Gothic" w:eastAsia="Times New Roman" w:hAnsi="Century Gothic" w:cs="Helvetica"/>
          <w:color w:val="333333"/>
          <w:sz w:val="24"/>
          <w:szCs w:val="24"/>
        </w:rPr>
        <w:t xml:space="preserve">This means that a company's creative and effective management team will not be listed as an asset. Similarly, a company's outstanding reputation, its unique </w:t>
      </w:r>
      <w:bookmarkStart w:id="0" w:name="_GoBack"/>
      <w:bookmarkEnd w:id="0"/>
      <w:r w:rsidRPr="00061B89">
        <w:rPr>
          <w:rFonts w:ascii="Century Gothic" w:eastAsia="Times New Roman" w:hAnsi="Century Gothic" w:cs="Helvetica"/>
          <w:color w:val="333333"/>
          <w:sz w:val="24"/>
          <w:szCs w:val="24"/>
        </w:rPr>
        <w:t>product lines, and brand names developed within the company will not be reported on the balance sheet. As you may surmise, these items are often the most valuable of all the things owned by the company. (Brand names purchased from another company will be recorded in the company's accounting records at their cost.)</w:t>
      </w:r>
    </w:p>
    <w:p w:rsidR="00061B89" w:rsidRPr="00061B89" w:rsidRDefault="00061B89" w:rsidP="00061B89">
      <w:pPr>
        <w:shd w:val="clear" w:color="auto" w:fill="FFFFFF"/>
        <w:spacing w:after="0" w:line="360" w:lineRule="auto"/>
        <w:textAlignment w:val="baseline"/>
        <w:rPr>
          <w:rFonts w:ascii="Century Gothic" w:eastAsia="Times New Roman" w:hAnsi="Century Gothic" w:cs="Helvetica"/>
          <w:color w:val="333333"/>
          <w:sz w:val="24"/>
          <w:szCs w:val="24"/>
        </w:rPr>
      </w:pPr>
      <w:r w:rsidRPr="00061B89">
        <w:rPr>
          <w:rFonts w:ascii="Century Gothic" w:eastAsia="Times New Roman" w:hAnsi="Century Gothic" w:cs="Helvetica"/>
          <w:color w:val="333333"/>
          <w:sz w:val="24"/>
          <w:szCs w:val="24"/>
        </w:rPr>
        <w:t>The accountants' </w:t>
      </w:r>
      <w:hyperlink r:id="rId7" w:history="1">
        <w:r w:rsidRPr="00061B89">
          <w:rPr>
            <w:rFonts w:ascii="Century Gothic" w:eastAsia="Times New Roman" w:hAnsi="Century Gothic" w:cs="Helvetica"/>
            <w:color w:val="333333"/>
            <w:sz w:val="24"/>
            <w:szCs w:val="24"/>
            <w:bdr w:val="none" w:sz="0" w:space="0" w:color="auto" w:frame="1"/>
          </w:rPr>
          <w:t>matching principle</w:t>
        </w:r>
      </w:hyperlink>
      <w:r w:rsidRPr="00061B89">
        <w:rPr>
          <w:rFonts w:ascii="Century Gothic" w:eastAsia="Times New Roman" w:hAnsi="Century Gothic" w:cs="Helvetica"/>
          <w:color w:val="333333"/>
          <w:sz w:val="24"/>
          <w:szCs w:val="24"/>
          <w:bdr w:val="none" w:sz="0" w:space="0" w:color="auto" w:frame="1"/>
        </w:rPr>
        <w:t> </w:t>
      </w:r>
      <w:r w:rsidRPr="00061B89">
        <w:rPr>
          <w:rFonts w:ascii="Century Gothic" w:eastAsia="Times New Roman" w:hAnsi="Century Gothic" w:cs="Helvetica"/>
          <w:color w:val="333333"/>
          <w:sz w:val="24"/>
          <w:szCs w:val="24"/>
        </w:rPr>
        <w:t>will result in assets such as buildings, equipment, furnishings, fixtures, vehicles, etc. being reported at amounts less than cost. The reason is these assets are </w:t>
      </w:r>
      <w:hyperlink r:id="rId8" w:history="1">
        <w:r w:rsidRPr="00061B89">
          <w:rPr>
            <w:rFonts w:ascii="Century Gothic" w:eastAsia="Times New Roman" w:hAnsi="Century Gothic" w:cs="Helvetica"/>
            <w:color w:val="333333"/>
            <w:sz w:val="24"/>
            <w:szCs w:val="24"/>
            <w:bdr w:val="none" w:sz="0" w:space="0" w:color="auto" w:frame="1"/>
          </w:rPr>
          <w:t>depreciated</w:t>
        </w:r>
      </w:hyperlink>
      <w:r w:rsidRPr="00061B89">
        <w:rPr>
          <w:rFonts w:ascii="Century Gothic" w:eastAsia="Times New Roman" w:hAnsi="Century Gothic" w:cs="Helvetica"/>
          <w:color w:val="333333"/>
          <w:sz w:val="24"/>
          <w:szCs w:val="24"/>
          <w:bdr w:val="none" w:sz="0" w:space="0" w:color="auto" w:frame="1"/>
        </w:rPr>
        <w:t>.</w:t>
      </w:r>
      <w:r w:rsidRPr="00061B89">
        <w:rPr>
          <w:rFonts w:ascii="Century Gothic" w:eastAsia="Times New Roman" w:hAnsi="Century Gothic" w:cs="Helvetica"/>
          <w:color w:val="333333"/>
          <w:sz w:val="24"/>
          <w:szCs w:val="24"/>
        </w:rPr>
        <w:t> Depreciation reduces an asset's </w:t>
      </w:r>
      <w:hyperlink r:id="rId9" w:history="1">
        <w:r w:rsidRPr="00061B89">
          <w:rPr>
            <w:rFonts w:ascii="Century Gothic" w:eastAsia="Times New Roman" w:hAnsi="Century Gothic" w:cs="Helvetica"/>
            <w:color w:val="333333"/>
            <w:sz w:val="24"/>
            <w:szCs w:val="24"/>
            <w:bdr w:val="none" w:sz="0" w:space="0" w:color="auto" w:frame="1"/>
          </w:rPr>
          <w:t>book value</w:t>
        </w:r>
      </w:hyperlink>
      <w:r w:rsidRPr="00061B89">
        <w:rPr>
          <w:rFonts w:ascii="Century Gothic" w:eastAsia="Times New Roman" w:hAnsi="Century Gothic" w:cs="Helvetica"/>
          <w:color w:val="333333"/>
          <w:sz w:val="24"/>
          <w:szCs w:val="24"/>
          <w:bdr w:val="none" w:sz="0" w:space="0" w:color="auto" w:frame="1"/>
        </w:rPr>
        <w:t> </w:t>
      </w:r>
      <w:r w:rsidRPr="00061B89">
        <w:rPr>
          <w:rFonts w:ascii="Century Gothic" w:eastAsia="Times New Roman" w:hAnsi="Century Gothic" w:cs="Helvetica"/>
          <w:color w:val="333333"/>
          <w:sz w:val="24"/>
          <w:szCs w:val="24"/>
        </w:rPr>
        <w:t>each year and the amount of the reduction is reported as Depreciation Expense on the income statement.</w:t>
      </w:r>
    </w:p>
    <w:p w:rsidR="00061B89" w:rsidRPr="00061B89" w:rsidRDefault="00061B89" w:rsidP="00061B89">
      <w:pPr>
        <w:shd w:val="clear" w:color="auto" w:fill="FFFFFF"/>
        <w:spacing w:after="0" w:line="360" w:lineRule="auto"/>
        <w:textAlignment w:val="baseline"/>
        <w:rPr>
          <w:rFonts w:ascii="Century Gothic" w:eastAsia="Times New Roman" w:hAnsi="Century Gothic" w:cs="Helvetica"/>
          <w:color w:val="333333"/>
          <w:sz w:val="24"/>
          <w:szCs w:val="24"/>
        </w:rPr>
      </w:pPr>
      <w:r w:rsidRPr="00061B89">
        <w:rPr>
          <w:rFonts w:ascii="Century Gothic" w:eastAsia="Times New Roman" w:hAnsi="Century Gothic" w:cs="Helvetica"/>
          <w:color w:val="333333"/>
          <w:sz w:val="24"/>
          <w:szCs w:val="24"/>
        </w:rPr>
        <w:t>While depreciation is reducing the book value of certain assets over their </w:t>
      </w:r>
      <w:hyperlink r:id="rId10" w:history="1">
        <w:r w:rsidRPr="00061B89">
          <w:rPr>
            <w:rFonts w:ascii="Century Gothic" w:eastAsia="Times New Roman" w:hAnsi="Century Gothic" w:cs="Helvetica"/>
            <w:color w:val="333333"/>
            <w:sz w:val="24"/>
            <w:szCs w:val="24"/>
            <w:bdr w:val="none" w:sz="0" w:space="0" w:color="auto" w:frame="1"/>
          </w:rPr>
          <w:t>useful lives</w:t>
        </w:r>
      </w:hyperlink>
      <w:r w:rsidRPr="00061B89">
        <w:rPr>
          <w:rFonts w:ascii="Century Gothic" w:eastAsia="Times New Roman" w:hAnsi="Century Gothic" w:cs="Helvetica"/>
          <w:color w:val="333333"/>
          <w:sz w:val="24"/>
          <w:szCs w:val="24"/>
          <w:bdr w:val="none" w:sz="0" w:space="0" w:color="auto" w:frame="1"/>
        </w:rPr>
        <w:t>,</w:t>
      </w:r>
      <w:r w:rsidRPr="00061B89">
        <w:rPr>
          <w:rFonts w:ascii="Century Gothic" w:eastAsia="Times New Roman" w:hAnsi="Century Gothic" w:cs="Helvetica"/>
          <w:color w:val="333333"/>
          <w:sz w:val="24"/>
          <w:szCs w:val="24"/>
        </w:rPr>
        <w:t xml:space="preserve"> the current value (or fair market value) of these assets may actually be </w:t>
      </w:r>
      <w:r w:rsidRPr="00061B89">
        <w:rPr>
          <w:rFonts w:ascii="Century Gothic" w:eastAsia="Times New Roman" w:hAnsi="Century Gothic" w:cs="Helvetica"/>
          <w:color w:val="333333"/>
          <w:sz w:val="24"/>
          <w:szCs w:val="24"/>
        </w:rPr>
        <w:lastRenderedPageBreak/>
        <w:t>increasing. (It is also possible that the </w:t>
      </w:r>
      <w:hyperlink r:id="rId11" w:history="1">
        <w:r w:rsidRPr="00061B89">
          <w:rPr>
            <w:rFonts w:ascii="Century Gothic" w:eastAsia="Times New Roman" w:hAnsi="Century Gothic" w:cs="Helvetica"/>
            <w:color w:val="333333"/>
            <w:sz w:val="24"/>
            <w:szCs w:val="24"/>
            <w:bdr w:val="none" w:sz="0" w:space="0" w:color="auto" w:frame="1"/>
          </w:rPr>
          <w:t>current value</w:t>
        </w:r>
      </w:hyperlink>
      <w:r w:rsidRPr="00061B89">
        <w:rPr>
          <w:rFonts w:ascii="Century Gothic" w:eastAsia="Times New Roman" w:hAnsi="Century Gothic" w:cs="Helvetica"/>
          <w:color w:val="333333"/>
          <w:sz w:val="24"/>
          <w:szCs w:val="24"/>
          <w:bdr w:val="none" w:sz="0" w:space="0" w:color="auto" w:frame="1"/>
        </w:rPr>
        <w:t> </w:t>
      </w:r>
      <w:r w:rsidRPr="00061B89">
        <w:rPr>
          <w:rFonts w:ascii="Century Gothic" w:eastAsia="Times New Roman" w:hAnsi="Century Gothic" w:cs="Helvetica"/>
          <w:color w:val="333333"/>
          <w:sz w:val="24"/>
          <w:szCs w:val="24"/>
        </w:rPr>
        <w:t>of some assets—such as computers—may be decreasing faster than the book value.)</w:t>
      </w:r>
    </w:p>
    <w:p w:rsidR="00061B89" w:rsidRPr="00061B89" w:rsidRDefault="00061B89" w:rsidP="00061B89">
      <w:pPr>
        <w:shd w:val="clear" w:color="auto" w:fill="FFFFFF"/>
        <w:spacing w:after="0" w:line="360" w:lineRule="auto"/>
        <w:textAlignment w:val="baseline"/>
        <w:rPr>
          <w:rFonts w:ascii="Century Gothic" w:eastAsia="Times New Roman" w:hAnsi="Century Gothic" w:cs="Helvetica"/>
          <w:color w:val="FF0000"/>
          <w:sz w:val="24"/>
          <w:szCs w:val="24"/>
        </w:rPr>
      </w:pPr>
      <w:hyperlink r:id="rId12" w:history="1">
        <w:r w:rsidRPr="00061B89">
          <w:rPr>
            <w:rFonts w:ascii="Century Gothic" w:eastAsia="Times New Roman" w:hAnsi="Century Gothic" w:cs="Helvetica"/>
            <w:color w:val="FF0000"/>
            <w:sz w:val="24"/>
            <w:szCs w:val="24"/>
            <w:bdr w:val="none" w:sz="0" w:space="0" w:color="auto" w:frame="1"/>
          </w:rPr>
          <w:t>Current assets</w:t>
        </w:r>
      </w:hyperlink>
      <w:r w:rsidRPr="00061B89">
        <w:rPr>
          <w:rFonts w:ascii="Century Gothic" w:eastAsia="Times New Roman" w:hAnsi="Century Gothic" w:cs="Helvetica"/>
          <w:color w:val="FF0000"/>
          <w:sz w:val="24"/>
          <w:szCs w:val="24"/>
          <w:bdr w:val="none" w:sz="0" w:space="0" w:color="auto" w:frame="1"/>
        </w:rPr>
        <w:t> </w:t>
      </w:r>
      <w:r w:rsidRPr="00061B89">
        <w:rPr>
          <w:rFonts w:ascii="Century Gothic" w:eastAsia="Times New Roman" w:hAnsi="Century Gothic" w:cs="Helvetica"/>
          <w:color w:val="FF0000"/>
          <w:sz w:val="24"/>
          <w:szCs w:val="24"/>
        </w:rPr>
        <w:t>such as Cash, Accounts Receivable, Inventory, Supplies, Prepaid Insurance, etc. usually have current values that are close to the amounts reported on the balance sheet.</w:t>
      </w:r>
    </w:p>
    <w:p w:rsidR="00061B89" w:rsidRDefault="00061B89" w:rsidP="00061B89">
      <w:pPr>
        <w:shd w:val="clear" w:color="auto" w:fill="FFFFFF"/>
        <w:spacing w:after="0" w:line="360" w:lineRule="auto"/>
        <w:textAlignment w:val="baseline"/>
        <w:rPr>
          <w:rFonts w:ascii="Century Gothic" w:eastAsia="Times New Roman" w:hAnsi="Century Gothic" w:cs="Helvetica"/>
          <w:b/>
          <w:bCs/>
          <w:color w:val="333333"/>
          <w:sz w:val="24"/>
          <w:szCs w:val="24"/>
          <w:bdr w:val="none" w:sz="0" w:space="0" w:color="auto" w:frame="1"/>
        </w:rPr>
      </w:pPr>
    </w:p>
    <w:p w:rsidR="00061B89" w:rsidRDefault="00061B89" w:rsidP="00061B89">
      <w:pPr>
        <w:shd w:val="clear" w:color="auto" w:fill="FFFFFF"/>
        <w:spacing w:after="0" w:line="360" w:lineRule="auto"/>
        <w:textAlignment w:val="baseline"/>
        <w:rPr>
          <w:rFonts w:ascii="Century Gothic" w:eastAsia="Times New Roman" w:hAnsi="Century Gothic" w:cs="Helvetica"/>
          <w:color w:val="0070C0"/>
          <w:sz w:val="24"/>
          <w:szCs w:val="24"/>
        </w:rPr>
      </w:pPr>
      <w:hyperlink r:id="rId13" w:history="1">
        <w:r w:rsidRPr="00061B89">
          <w:rPr>
            <w:rFonts w:ascii="Century Gothic" w:eastAsia="Times New Roman" w:hAnsi="Century Gothic" w:cs="Helvetica"/>
            <w:color w:val="0070C0"/>
            <w:sz w:val="24"/>
            <w:szCs w:val="24"/>
            <w:bdr w:val="none" w:sz="0" w:space="0" w:color="auto" w:frame="1"/>
          </w:rPr>
          <w:t>Current liabilities</w:t>
        </w:r>
      </w:hyperlink>
      <w:r w:rsidRPr="00061B89">
        <w:rPr>
          <w:rFonts w:ascii="Century Gothic" w:eastAsia="Times New Roman" w:hAnsi="Century Gothic" w:cs="Helvetica"/>
          <w:color w:val="0070C0"/>
          <w:sz w:val="24"/>
          <w:szCs w:val="24"/>
          <w:bdr w:val="none" w:sz="0" w:space="0" w:color="auto" w:frame="1"/>
        </w:rPr>
        <w:t> </w:t>
      </w:r>
      <w:r w:rsidRPr="00061B89">
        <w:rPr>
          <w:rFonts w:ascii="Century Gothic" w:eastAsia="Times New Roman" w:hAnsi="Century Gothic" w:cs="Helvetica"/>
          <w:color w:val="0070C0"/>
          <w:sz w:val="24"/>
          <w:szCs w:val="24"/>
        </w:rPr>
        <w:t>such as Notes Payable (due within one year), Accounts Payable, Wages Payable, Interest Payable, Unearned Revenues, etc. are also likely to have current values that are close to the amounts reported on the balance sheet.</w:t>
      </w:r>
    </w:p>
    <w:p w:rsidR="00061B89" w:rsidRPr="00061B89" w:rsidRDefault="00061B89" w:rsidP="00061B89">
      <w:pPr>
        <w:shd w:val="clear" w:color="auto" w:fill="FFFFFF"/>
        <w:spacing w:after="0" w:line="360" w:lineRule="auto"/>
        <w:textAlignment w:val="baseline"/>
        <w:rPr>
          <w:rFonts w:ascii="Century Gothic" w:eastAsia="Times New Roman" w:hAnsi="Century Gothic" w:cs="Helvetica"/>
          <w:color w:val="0070C0"/>
          <w:sz w:val="24"/>
          <w:szCs w:val="24"/>
        </w:rPr>
      </w:pPr>
    </w:p>
    <w:p w:rsidR="00061B89" w:rsidRPr="00061B89" w:rsidRDefault="00061B89" w:rsidP="00061B89">
      <w:pPr>
        <w:shd w:val="clear" w:color="auto" w:fill="FFFFFF"/>
        <w:spacing w:after="0" w:line="360" w:lineRule="auto"/>
        <w:textAlignment w:val="baseline"/>
        <w:rPr>
          <w:rFonts w:ascii="Century Gothic" w:eastAsia="Times New Roman" w:hAnsi="Century Gothic" w:cs="Helvetica"/>
          <w:color w:val="333333"/>
          <w:sz w:val="24"/>
          <w:szCs w:val="24"/>
        </w:rPr>
      </w:pPr>
      <w:hyperlink r:id="rId14" w:history="1">
        <w:r w:rsidRPr="00061B89">
          <w:rPr>
            <w:rFonts w:ascii="Century Gothic" w:eastAsia="Times New Roman" w:hAnsi="Century Gothic" w:cs="Helvetica"/>
            <w:b/>
            <w:color w:val="E36C0A" w:themeColor="accent6" w:themeShade="BF"/>
            <w:sz w:val="24"/>
            <w:szCs w:val="24"/>
            <w:bdr w:val="none" w:sz="0" w:space="0" w:color="auto" w:frame="1"/>
          </w:rPr>
          <w:t>Long-term liabilities</w:t>
        </w:r>
      </w:hyperlink>
      <w:r w:rsidRPr="00061B89">
        <w:rPr>
          <w:rFonts w:ascii="Century Gothic" w:eastAsia="Times New Roman" w:hAnsi="Century Gothic" w:cs="Helvetica"/>
          <w:color w:val="333333"/>
          <w:sz w:val="24"/>
          <w:szCs w:val="24"/>
          <w:bdr w:val="none" w:sz="0" w:space="0" w:color="auto" w:frame="1"/>
        </w:rPr>
        <w:t> </w:t>
      </w:r>
      <w:r w:rsidRPr="00061B89">
        <w:rPr>
          <w:rFonts w:ascii="Century Gothic" w:eastAsia="Times New Roman" w:hAnsi="Century Gothic" w:cs="Helvetica"/>
          <w:color w:val="333333"/>
          <w:sz w:val="24"/>
          <w:szCs w:val="24"/>
        </w:rPr>
        <w:t>such as Notes Payable (not due within one year) or Bonds Payable (not maturing within one year) will often have current values that </w:t>
      </w:r>
      <w:r w:rsidRPr="00061B89">
        <w:rPr>
          <w:rFonts w:ascii="Century Gothic" w:eastAsia="Times New Roman" w:hAnsi="Century Gothic" w:cs="Helvetica"/>
          <w:i/>
          <w:iCs/>
          <w:color w:val="333333"/>
          <w:sz w:val="24"/>
          <w:szCs w:val="24"/>
          <w:bdr w:val="none" w:sz="0" w:space="0" w:color="auto" w:frame="1"/>
        </w:rPr>
        <w:t>differ</w:t>
      </w:r>
      <w:r w:rsidRPr="00061B89">
        <w:rPr>
          <w:rFonts w:ascii="Century Gothic" w:eastAsia="Times New Roman" w:hAnsi="Century Gothic" w:cs="Helvetica"/>
          <w:color w:val="333333"/>
          <w:sz w:val="24"/>
          <w:szCs w:val="24"/>
        </w:rPr>
        <w:t> from the amounts reported on the balance sheet.</w:t>
      </w:r>
    </w:p>
    <w:p w:rsidR="00061B89" w:rsidRDefault="00061B89" w:rsidP="00061B89">
      <w:pPr>
        <w:shd w:val="clear" w:color="auto" w:fill="FFFFFF"/>
        <w:spacing w:after="0" w:line="360" w:lineRule="auto"/>
        <w:textAlignment w:val="baseline"/>
        <w:rPr>
          <w:rFonts w:ascii="Century Gothic" w:eastAsia="Times New Roman" w:hAnsi="Century Gothic" w:cs="Helvetica"/>
          <w:b/>
          <w:bCs/>
          <w:color w:val="333333"/>
          <w:sz w:val="24"/>
          <w:szCs w:val="24"/>
          <w:bdr w:val="none" w:sz="0" w:space="0" w:color="auto" w:frame="1"/>
        </w:rPr>
      </w:pPr>
    </w:p>
    <w:p w:rsidR="00061B89" w:rsidRPr="00061B89" w:rsidRDefault="00061B89" w:rsidP="00061B89">
      <w:pPr>
        <w:shd w:val="clear" w:color="auto" w:fill="FFFFFF"/>
        <w:spacing w:after="0" w:line="360" w:lineRule="auto"/>
        <w:textAlignment w:val="baseline"/>
        <w:rPr>
          <w:rFonts w:ascii="Century Gothic" w:eastAsia="Times New Roman" w:hAnsi="Century Gothic" w:cs="Helvetica"/>
          <w:color w:val="333333"/>
          <w:sz w:val="24"/>
          <w:szCs w:val="24"/>
        </w:rPr>
      </w:pPr>
      <w:hyperlink r:id="rId15" w:history="1">
        <w:r w:rsidRPr="00061B89">
          <w:rPr>
            <w:rFonts w:ascii="Century Gothic" w:eastAsia="Times New Roman" w:hAnsi="Century Gothic" w:cs="Helvetica"/>
            <w:b/>
            <w:color w:val="E36C0A" w:themeColor="accent6" w:themeShade="BF"/>
            <w:sz w:val="24"/>
            <w:szCs w:val="24"/>
            <w:bdr w:val="none" w:sz="0" w:space="0" w:color="auto" w:frame="1"/>
          </w:rPr>
          <w:t>Stockholders' equity</w:t>
        </w:r>
      </w:hyperlink>
      <w:r w:rsidRPr="00061B89">
        <w:rPr>
          <w:rFonts w:ascii="Century Gothic" w:eastAsia="Times New Roman" w:hAnsi="Century Gothic" w:cs="Helvetica"/>
          <w:color w:val="333333"/>
          <w:sz w:val="24"/>
          <w:szCs w:val="24"/>
        </w:rPr>
        <w:t> is the </w:t>
      </w:r>
      <w:hyperlink r:id="rId16" w:history="1">
        <w:r w:rsidRPr="00061B89">
          <w:rPr>
            <w:rFonts w:ascii="Century Gothic" w:eastAsia="Times New Roman" w:hAnsi="Century Gothic" w:cs="Helvetica"/>
            <w:color w:val="333333"/>
            <w:sz w:val="24"/>
            <w:szCs w:val="24"/>
            <w:bdr w:val="none" w:sz="0" w:space="0" w:color="auto" w:frame="1"/>
          </w:rPr>
          <w:t>book value of the company</w:t>
        </w:r>
      </w:hyperlink>
      <w:r w:rsidRPr="00061B89">
        <w:rPr>
          <w:rFonts w:ascii="Century Gothic" w:eastAsia="Times New Roman" w:hAnsi="Century Gothic" w:cs="Helvetica"/>
          <w:color w:val="333333"/>
          <w:sz w:val="24"/>
          <w:szCs w:val="24"/>
          <w:bdr w:val="none" w:sz="0" w:space="0" w:color="auto" w:frame="1"/>
        </w:rPr>
        <w:t>.</w:t>
      </w:r>
      <w:r w:rsidRPr="00061B89">
        <w:rPr>
          <w:rFonts w:ascii="Century Gothic" w:eastAsia="Times New Roman" w:hAnsi="Century Gothic" w:cs="Helvetica"/>
          <w:color w:val="333333"/>
          <w:sz w:val="24"/>
          <w:szCs w:val="24"/>
        </w:rPr>
        <w:t> It is the difference between the reported amount of assets and the reported amount of liabilities. For the reasons mentioned above, the reported amount of stockholders' equity will therefore be different from the current or market value of the company.</w:t>
      </w:r>
    </w:p>
    <w:p w:rsidR="00061B89" w:rsidRDefault="00061B89" w:rsidP="00061B89">
      <w:pPr>
        <w:shd w:val="clear" w:color="auto" w:fill="FFFFFF"/>
        <w:spacing w:after="0" w:line="360" w:lineRule="auto"/>
        <w:textAlignment w:val="baseline"/>
        <w:rPr>
          <w:rFonts w:ascii="Century Gothic" w:eastAsia="Times New Roman" w:hAnsi="Century Gothic" w:cs="Helvetica"/>
          <w:color w:val="333333"/>
          <w:sz w:val="24"/>
          <w:szCs w:val="24"/>
        </w:rPr>
      </w:pPr>
    </w:p>
    <w:p w:rsidR="00061B89" w:rsidRPr="00061B89" w:rsidRDefault="00061B89" w:rsidP="00061B89">
      <w:pPr>
        <w:shd w:val="clear" w:color="auto" w:fill="FFFFFF"/>
        <w:spacing w:after="0" w:line="360" w:lineRule="auto"/>
        <w:textAlignment w:val="baseline"/>
        <w:rPr>
          <w:rFonts w:ascii="Century Gothic" w:eastAsia="Times New Roman" w:hAnsi="Century Gothic" w:cs="Helvetica"/>
          <w:color w:val="FF0000"/>
          <w:sz w:val="24"/>
          <w:szCs w:val="24"/>
        </w:rPr>
      </w:pPr>
      <w:r w:rsidRPr="00061B89">
        <w:rPr>
          <w:rFonts w:ascii="Century Gothic" w:eastAsia="Times New Roman" w:hAnsi="Century Gothic" w:cs="Helvetica"/>
          <w:color w:val="FF0000"/>
          <w:sz w:val="24"/>
          <w:szCs w:val="24"/>
        </w:rPr>
        <w:t xml:space="preserve">By definition the current assets and current liabilities are "turning over" at least </w:t>
      </w:r>
      <w:proofErr w:type="gramStart"/>
      <w:r w:rsidRPr="00061B89">
        <w:rPr>
          <w:rFonts w:ascii="Century Gothic" w:eastAsia="Times New Roman" w:hAnsi="Century Gothic" w:cs="Helvetica"/>
          <w:color w:val="FF0000"/>
          <w:sz w:val="24"/>
          <w:szCs w:val="24"/>
        </w:rPr>
        <w:t>once</w:t>
      </w:r>
      <w:proofErr w:type="gramEnd"/>
      <w:r w:rsidRPr="00061B89">
        <w:rPr>
          <w:rFonts w:ascii="Century Gothic" w:eastAsia="Times New Roman" w:hAnsi="Century Gothic" w:cs="Helvetica"/>
          <w:color w:val="FF0000"/>
          <w:sz w:val="24"/>
          <w:szCs w:val="24"/>
        </w:rPr>
        <w:t xml:space="preserve"> per year. As a result, the reported amounts are likely to be similar to their current value. </w:t>
      </w:r>
    </w:p>
    <w:p w:rsidR="00061B89" w:rsidRPr="00061B89" w:rsidRDefault="00061B89" w:rsidP="00061B89">
      <w:pPr>
        <w:shd w:val="clear" w:color="auto" w:fill="FFFFFF"/>
        <w:spacing w:after="0" w:line="360" w:lineRule="auto"/>
        <w:textAlignment w:val="baseline"/>
        <w:rPr>
          <w:rFonts w:ascii="Century Gothic" w:eastAsia="Times New Roman" w:hAnsi="Century Gothic" w:cs="Helvetica"/>
          <w:color w:val="0070C0"/>
          <w:sz w:val="24"/>
          <w:szCs w:val="24"/>
        </w:rPr>
      </w:pPr>
      <w:r w:rsidRPr="00061B89">
        <w:rPr>
          <w:rFonts w:ascii="Century Gothic" w:eastAsia="Times New Roman" w:hAnsi="Century Gothic" w:cs="Helvetica"/>
          <w:color w:val="0070C0"/>
          <w:sz w:val="24"/>
          <w:szCs w:val="24"/>
        </w:rPr>
        <w:t>The long-term assets and long-term liabilities are </w:t>
      </w:r>
      <w:r w:rsidRPr="00061B89">
        <w:rPr>
          <w:rFonts w:ascii="Century Gothic" w:eastAsia="Times New Roman" w:hAnsi="Century Gothic" w:cs="Helvetica"/>
          <w:i/>
          <w:iCs/>
          <w:color w:val="0070C0"/>
          <w:sz w:val="24"/>
          <w:szCs w:val="24"/>
          <w:bdr w:val="none" w:sz="0" w:space="0" w:color="auto" w:frame="1"/>
        </w:rPr>
        <w:t>not</w:t>
      </w:r>
      <w:r w:rsidRPr="00061B89">
        <w:rPr>
          <w:rFonts w:ascii="Century Gothic" w:eastAsia="Times New Roman" w:hAnsi="Century Gothic" w:cs="Helvetica"/>
          <w:color w:val="0070C0"/>
          <w:sz w:val="24"/>
          <w:szCs w:val="24"/>
        </w:rPr>
        <w:t> "turning over" often. Therefore, the amounts reported for long-term assets and long-term liabilities will likely be different from the current value of those items.</w:t>
      </w:r>
    </w:p>
    <w:p w:rsidR="00466F46" w:rsidRDefault="00466F46" w:rsidP="00061B89">
      <w:pPr>
        <w:spacing w:line="360" w:lineRule="auto"/>
      </w:pPr>
    </w:p>
    <w:sectPr w:rsidR="00466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B89"/>
    <w:rsid w:val="00061B89"/>
    <w:rsid w:val="003E76AB"/>
    <w:rsid w:val="00466F46"/>
    <w:rsid w:val="00BD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E56"/>
  </w:style>
  <w:style w:type="paragraph" w:styleId="Heading1">
    <w:name w:val="heading 1"/>
    <w:basedOn w:val="Normal"/>
    <w:link w:val="Heading1Char"/>
    <w:uiPriority w:val="9"/>
    <w:qFormat/>
    <w:rsid w:val="00BD3E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3E56"/>
    <w:pPr>
      <w:pBdr>
        <w:bottom w:val="dotted" w:sz="6" w:space="2" w:color="CCCCCC"/>
      </w:pBdr>
      <w:spacing w:before="225" w:after="30" w:line="240" w:lineRule="auto"/>
      <w:outlineLvl w:val="1"/>
    </w:pPr>
    <w:rPr>
      <w:rFonts w:ascii="Times New Roman" w:eastAsia="Times New Roman" w:hAnsi="Times New Roman" w:cs="Times New Roman"/>
      <w:b/>
      <w:bCs/>
      <w:spacing w:val="48"/>
      <w:sz w:val="23"/>
      <w:szCs w:val="23"/>
    </w:rPr>
  </w:style>
  <w:style w:type="paragraph" w:styleId="Heading3">
    <w:name w:val="heading 3"/>
    <w:basedOn w:val="Normal"/>
    <w:link w:val="Heading3Char"/>
    <w:uiPriority w:val="9"/>
    <w:qFormat/>
    <w:rsid w:val="00BD3E56"/>
    <w:pPr>
      <w:pBdr>
        <w:bottom w:val="dotted" w:sz="6" w:space="0" w:color="EEEEEE"/>
      </w:pBdr>
      <w:spacing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E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3E56"/>
    <w:rPr>
      <w:rFonts w:ascii="Times New Roman" w:eastAsia="Times New Roman" w:hAnsi="Times New Roman" w:cs="Times New Roman"/>
      <w:b/>
      <w:bCs/>
      <w:spacing w:val="48"/>
      <w:sz w:val="23"/>
      <w:szCs w:val="23"/>
    </w:rPr>
  </w:style>
  <w:style w:type="character" w:customStyle="1" w:styleId="Heading3Char">
    <w:name w:val="Heading 3 Char"/>
    <w:basedOn w:val="DefaultParagraphFont"/>
    <w:link w:val="Heading3"/>
    <w:uiPriority w:val="9"/>
    <w:rsid w:val="00BD3E56"/>
    <w:rPr>
      <w:rFonts w:ascii="Times New Roman" w:eastAsia="Times New Roman" w:hAnsi="Times New Roman" w:cs="Times New Roman"/>
      <w:b/>
      <w:bCs/>
      <w:sz w:val="27"/>
      <w:szCs w:val="27"/>
    </w:rPr>
  </w:style>
  <w:style w:type="character" w:styleId="Strong">
    <w:name w:val="Strong"/>
    <w:basedOn w:val="DefaultParagraphFont"/>
    <w:uiPriority w:val="22"/>
    <w:qFormat/>
    <w:rsid w:val="00BD3E56"/>
    <w:rPr>
      <w:b/>
      <w:bCs/>
    </w:rPr>
  </w:style>
  <w:style w:type="character" w:styleId="Emphasis">
    <w:name w:val="Emphasis"/>
    <w:basedOn w:val="DefaultParagraphFont"/>
    <w:uiPriority w:val="20"/>
    <w:qFormat/>
    <w:rsid w:val="00BD3E56"/>
    <w:rPr>
      <w:i/>
      <w:iCs/>
    </w:rPr>
  </w:style>
  <w:style w:type="paragraph" w:styleId="ListParagraph">
    <w:name w:val="List Paragraph"/>
    <w:basedOn w:val="Normal"/>
    <w:uiPriority w:val="34"/>
    <w:qFormat/>
    <w:rsid w:val="00BD3E56"/>
    <w:pPr>
      <w:ind w:left="720"/>
      <w:contextualSpacing/>
    </w:pPr>
  </w:style>
  <w:style w:type="paragraph" w:styleId="NormalWeb">
    <w:name w:val="Normal (Web)"/>
    <w:basedOn w:val="Normal"/>
    <w:uiPriority w:val="99"/>
    <w:semiHidden/>
    <w:unhideWhenUsed/>
    <w:rsid w:val="00061B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reak">
    <w:name w:val="no-break"/>
    <w:basedOn w:val="DefaultParagraphFont"/>
    <w:rsid w:val="00061B89"/>
  </w:style>
  <w:style w:type="character" w:styleId="Hyperlink">
    <w:name w:val="Hyperlink"/>
    <w:basedOn w:val="DefaultParagraphFont"/>
    <w:uiPriority w:val="99"/>
    <w:semiHidden/>
    <w:unhideWhenUsed/>
    <w:rsid w:val="00061B8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E56"/>
  </w:style>
  <w:style w:type="paragraph" w:styleId="Heading1">
    <w:name w:val="heading 1"/>
    <w:basedOn w:val="Normal"/>
    <w:link w:val="Heading1Char"/>
    <w:uiPriority w:val="9"/>
    <w:qFormat/>
    <w:rsid w:val="00BD3E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3E56"/>
    <w:pPr>
      <w:pBdr>
        <w:bottom w:val="dotted" w:sz="6" w:space="2" w:color="CCCCCC"/>
      </w:pBdr>
      <w:spacing w:before="225" w:after="30" w:line="240" w:lineRule="auto"/>
      <w:outlineLvl w:val="1"/>
    </w:pPr>
    <w:rPr>
      <w:rFonts w:ascii="Times New Roman" w:eastAsia="Times New Roman" w:hAnsi="Times New Roman" w:cs="Times New Roman"/>
      <w:b/>
      <w:bCs/>
      <w:spacing w:val="48"/>
      <w:sz w:val="23"/>
      <w:szCs w:val="23"/>
    </w:rPr>
  </w:style>
  <w:style w:type="paragraph" w:styleId="Heading3">
    <w:name w:val="heading 3"/>
    <w:basedOn w:val="Normal"/>
    <w:link w:val="Heading3Char"/>
    <w:uiPriority w:val="9"/>
    <w:qFormat/>
    <w:rsid w:val="00BD3E56"/>
    <w:pPr>
      <w:pBdr>
        <w:bottom w:val="dotted" w:sz="6" w:space="0" w:color="EEEEEE"/>
      </w:pBdr>
      <w:spacing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E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3E56"/>
    <w:rPr>
      <w:rFonts w:ascii="Times New Roman" w:eastAsia="Times New Roman" w:hAnsi="Times New Roman" w:cs="Times New Roman"/>
      <w:b/>
      <w:bCs/>
      <w:spacing w:val="48"/>
      <w:sz w:val="23"/>
      <w:szCs w:val="23"/>
    </w:rPr>
  </w:style>
  <w:style w:type="character" w:customStyle="1" w:styleId="Heading3Char">
    <w:name w:val="Heading 3 Char"/>
    <w:basedOn w:val="DefaultParagraphFont"/>
    <w:link w:val="Heading3"/>
    <w:uiPriority w:val="9"/>
    <w:rsid w:val="00BD3E56"/>
    <w:rPr>
      <w:rFonts w:ascii="Times New Roman" w:eastAsia="Times New Roman" w:hAnsi="Times New Roman" w:cs="Times New Roman"/>
      <w:b/>
      <w:bCs/>
      <w:sz w:val="27"/>
      <w:szCs w:val="27"/>
    </w:rPr>
  </w:style>
  <w:style w:type="character" w:styleId="Strong">
    <w:name w:val="Strong"/>
    <w:basedOn w:val="DefaultParagraphFont"/>
    <w:uiPriority w:val="22"/>
    <w:qFormat/>
    <w:rsid w:val="00BD3E56"/>
    <w:rPr>
      <w:b/>
      <w:bCs/>
    </w:rPr>
  </w:style>
  <w:style w:type="character" w:styleId="Emphasis">
    <w:name w:val="Emphasis"/>
    <w:basedOn w:val="DefaultParagraphFont"/>
    <w:uiPriority w:val="20"/>
    <w:qFormat/>
    <w:rsid w:val="00BD3E56"/>
    <w:rPr>
      <w:i/>
      <w:iCs/>
    </w:rPr>
  </w:style>
  <w:style w:type="paragraph" w:styleId="ListParagraph">
    <w:name w:val="List Paragraph"/>
    <w:basedOn w:val="Normal"/>
    <w:uiPriority w:val="34"/>
    <w:qFormat/>
    <w:rsid w:val="00BD3E56"/>
    <w:pPr>
      <w:ind w:left="720"/>
      <w:contextualSpacing/>
    </w:pPr>
  </w:style>
  <w:style w:type="paragraph" w:styleId="NormalWeb">
    <w:name w:val="Normal (Web)"/>
    <w:basedOn w:val="Normal"/>
    <w:uiPriority w:val="99"/>
    <w:semiHidden/>
    <w:unhideWhenUsed/>
    <w:rsid w:val="00061B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break">
    <w:name w:val="no-break"/>
    <w:basedOn w:val="DefaultParagraphFont"/>
    <w:rsid w:val="00061B89"/>
  </w:style>
  <w:style w:type="character" w:styleId="Hyperlink">
    <w:name w:val="Hyperlink"/>
    <w:basedOn w:val="DefaultParagraphFont"/>
    <w:uiPriority w:val="99"/>
    <w:semiHidden/>
    <w:unhideWhenUsed/>
    <w:rsid w:val="00061B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574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coach.com/terms/D/depreciated" TargetMode="External"/><Relationship Id="rId13" Type="http://schemas.openxmlformats.org/officeDocument/2006/relationships/hyperlink" Target="https://www.accountingcoach.com/terms/C/current-liabiliti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ccountingcoach.com/terms/M/matching-principle" TargetMode="External"/><Relationship Id="rId12" Type="http://schemas.openxmlformats.org/officeDocument/2006/relationships/hyperlink" Target="https://www.accountingcoach.com/terms/C/current-assets"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accountingcoach.com/terms/B/book-value-of-a-company" TargetMode="External"/><Relationship Id="rId1" Type="http://schemas.openxmlformats.org/officeDocument/2006/relationships/styles" Target="styles.xml"/><Relationship Id="rId6" Type="http://schemas.openxmlformats.org/officeDocument/2006/relationships/hyperlink" Target="https://www.accountingcoach.com/terms/M/monetary-unit-assumption" TargetMode="External"/><Relationship Id="rId11" Type="http://schemas.openxmlformats.org/officeDocument/2006/relationships/hyperlink" Target="https://www.accountingcoach.com/terms/C/current-value" TargetMode="External"/><Relationship Id="rId5" Type="http://schemas.openxmlformats.org/officeDocument/2006/relationships/hyperlink" Target="https://www.accountingcoach.com/terms/C/cost-principle" TargetMode="External"/><Relationship Id="rId15" Type="http://schemas.openxmlformats.org/officeDocument/2006/relationships/hyperlink" Target="https://www.accountingcoach.com/terms/S/stockholders-equity" TargetMode="External"/><Relationship Id="rId10" Type="http://schemas.openxmlformats.org/officeDocument/2006/relationships/hyperlink" Target="https://www.accountingcoach.com/terms/U/useful-life" TargetMode="External"/><Relationship Id="rId4" Type="http://schemas.openxmlformats.org/officeDocument/2006/relationships/webSettings" Target="webSettings.xml"/><Relationship Id="rId9" Type="http://schemas.openxmlformats.org/officeDocument/2006/relationships/hyperlink" Target="https://www.accountingcoach.com/terms/B/book-value" TargetMode="External"/><Relationship Id="rId14" Type="http://schemas.openxmlformats.org/officeDocument/2006/relationships/hyperlink" Target="https://www.accountingcoach.com/terms/L/long-term-li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Tapas</dc:creator>
  <cp:lastModifiedBy>Tapas</cp:lastModifiedBy>
  <cp:revision>1</cp:revision>
  <dcterms:created xsi:type="dcterms:W3CDTF">2018-04-22T05:46:00Z</dcterms:created>
  <dcterms:modified xsi:type="dcterms:W3CDTF">2018-04-22T05:56:00Z</dcterms:modified>
</cp:coreProperties>
</file>