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CSE 442 Sprint 2 Self-Grade</w:t>
      </w:r>
    </w:p>
    <w:p>
      <w:pPr>
        <w:spacing w:after="220"/>
      </w:pPr>
      <w:r>
        <w:rPr>
          <w:rFonts w:ascii="Arial" w:hAnsi="Arial"/>
          <w:color w:val="4B4B4B"/>
          <w:sz w:val="22"/>
        </w:rPr>
        <w:t>Notely  •  9 October 2026  •  origin/dev @ 9364c3b</w:t>
      </w:r>
    </w:p>
    <w:p>
      <w:r>
        <w:t>This self-grade covers every row in the Sprint 2 rubric: Release Demo, Onboarding, and Testing. I used the local build of the fetched dev branch and the current Scrumboard snapshot. I did not assess the live TEST or PROD deployments because VPN access was unavailable.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952"/>
            <w:vAlign w:val="center"/>
            <w:shd w:fill="E8ECEF"/>
          </w:tcPr>
          <w:p>
            <w:pPr>
              <w:spacing w:after="0" w:line="240" w:lineRule="auto"/>
            </w:pPr>
            <w:r/>
            <w:r>
              <w:rPr>
                <w:rFonts w:ascii="Arial" w:hAnsi="Arial"/>
                <w:b/>
                <w:sz w:val="18"/>
              </w:rPr>
              <w:t>Rubric area</w:t>
            </w:r>
          </w:p>
        </w:tc>
        <w:tc>
          <w:tcPr>
            <w:tcW w:type="dxa" w:w="1800"/>
            <w:vAlign w:val="center"/>
            <w:shd w:fill="E8ECEF"/>
          </w:tcPr>
          <w:p>
            <w:pPr>
              <w:spacing w:after="0" w:line="240" w:lineRule="auto"/>
            </w:pPr>
            <w:r/>
            <w:r>
              <w:rPr>
                <w:rFonts w:ascii="Arial" w:hAnsi="Arial"/>
                <w:b/>
                <w:sz w:val="18"/>
              </w:rPr>
              <w:t>Raw score</w:t>
            </w:r>
          </w:p>
        </w:tc>
        <w:tc>
          <w:tcPr>
            <w:tcW w:type="dxa" w:w="1224"/>
            <w:vAlign w:val="center"/>
            <w:shd w:fill="E8ECEF"/>
          </w:tcPr>
          <w:p>
            <w:pPr>
              <w:spacing w:after="0" w:line="240" w:lineRule="auto"/>
            </w:pPr>
            <w:r/>
            <w:r>
              <w:rPr>
                <w:rFonts w:ascii="Arial" w:hAnsi="Arial"/>
                <w:b/>
                <w:sz w:val="18"/>
              </w:rPr>
              <w:t>Weight</w:t>
            </w:r>
          </w:p>
        </w:tc>
        <w:tc>
          <w:tcPr>
            <w:tcW w:type="dxa" w:w="2232"/>
            <w:vAlign w:val="center"/>
            <w:shd w:fill="E8ECEF"/>
          </w:tcPr>
          <w:p>
            <w:pPr>
              <w:spacing w:after="0" w:line="240" w:lineRule="auto"/>
            </w:pPr>
            <w:r/>
            <w:r>
              <w:rPr>
                <w:rFonts w:ascii="Arial" w:hAnsi="Arial"/>
                <w:b/>
                <w:sz w:val="18"/>
              </w:rPr>
              <w:t>Weighted result</w:t>
            </w:r>
          </w:p>
        </w:tc>
      </w:tr>
      <w:tr>
        <w:tc>
          <w:tcPr>
            <w:tcW w:type="dxa" w:w="2952"/>
            <w:vAlign w:val="center"/>
          </w:tcPr>
          <w:p>
            <w:pPr>
              <w:spacing w:after="0" w:line="240" w:lineRule="auto"/>
            </w:pPr>
            <w:r/>
            <w:r>
              <w:rPr>
                <w:rFonts w:ascii="Arial" w:hAnsi="Arial"/>
                <w:b w:val="0"/>
                <w:sz w:val="18"/>
              </w:rPr>
              <w:t>Release Demo</w:t>
            </w:r>
          </w:p>
        </w:tc>
        <w:tc>
          <w:tcPr>
            <w:tcW w:type="dxa" w:w="1800"/>
            <w:vAlign w:val="center"/>
          </w:tcPr>
          <w:p>
            <w:pPr>
              <w:spacing w:after="0" w:line="240" w:lineRule="auto"/>
            </w:pPr>
            <w:r/>
            <w:r>
              <w:rPr>
                <w:rFonts w:ascii="Arial" w:hAnsi="Arial"/>
                <w:b w:val="0"/>
                <w:sz w:val="18"/>
              </w:rPr>
              <w:t>13 / 20</w:t>
            </w:r>
          </w:p>
        </w:tc>
        <w:tc>
          <w:tcPr>
            <w:tcW w:type="dxa" w:w="1224"/>
            <w:vAlign w:val="center"/>
          </w:tcPr>
          <w:p>
            <w:pPr>
              <w:spacing w:after="0" w:line="240" w:lineRule="auto"/>
            </w:pPr>
            <w:r/>
            <w:r>
              <w:rPr>
                <w:rFonts w:ascii="Arial" w:hAnsi="Arial"/>
                <w:b w:val="0"/>
                <w:sz w:val="18"/>
              </w:rPr>
              <w:t>40%</w:t>
            </w:r>
          </w:p>
        </w:tc>
        <w:tc>
          <w:tcPr>
            <w:tcW w:type="dxa" w:w="2232"/>
            <w:vAlign w:val="center"/>
          </w:tcPr>
          <w:p>
            <w:pPr>
              <w:spacing w:after="0" w:line="240" w:lineRule="auto"/>
            </w:pPr>
            <w:r/>
            <w:r>
              <w:rPr>
                <w:rFonts w:ascii="Arial" w:hAnsi="Arial"/>
                <w:b w:val="0"/>
                <w:sz w:val="18"/>
              </w:rPr>
              <w:t>26.0 / 40</w:t>
            </w:r>
          </w:p>
        </w:tc>
      </w:tr>
      <w:tr>
        <w:tc>
          <w:tcPr>
            <w:tcW w:type="dxa" w:w="2952"/>
            <w:vAlign w:val="center"/>
          </w:tcPr>
          <w:p>
            <w:pPr>
              <w:spacing w:after="0" w:line="240" w:lineRule="auto"/>
            </w:pPr>
            <w:r/>
            <w:r>
              <w:rPr>
                <w:rFonts w:ascii="Arial" w:hAnsi="Arial"/>
                <w:b w:val="0"/>
                <w:sz w:val="18"/>
              </w:rPr>
              <w:t>Onboarding</w:t>
            </w:r>
          </w:p>
        </w:tc>
        <w:tc>
          <w:tcPr>
            <w:tcW w:type="dxa" w:w="1800"/>
            <w:vAlign w:val="center"/>
          </w:tcPr>
          <w:p>
            <w:pPr>
              <w:spacing w:after="0" w:line="240" w:lineRule="auto"/>
            </w:pPr>
            <w:r/>
            <w:r>
              <w:rPr>
                <w:rFonts w:ascii="Arial" w:hAnsi="Arial"/>
                <w:b w:val="0"/>
                <w:sz w:val="18"/>
              </w:rPr>
              <w:t>16 / 30</w:t>
            </w:r>
          </w:p>
        </w:tc>
        <w:tc>
          <w:tcPr>
            <w:tcW w:type="dxa" w:w="1224"/>
            <w:vAlign w:val="center"/>
          </w:tcPr>
          <w:p>
            <w:pPr>
              <w:spacing w:after="0" w:line="240" w:lineRule="auto"/>
            </w:pPr>
            <w:r/>
            <w:r>
              <w:rPr>
                <w:rFonts w:ascii="Arial" w:hAnsi="Arial"/>
                <w:b w:val="0"/>
                <w:sz w:val="18"/>
              </w:rPr>
              <w:t>40%</w:t>
            </w:r>
          </w:p>
        </w:tc>
        <w:tc>
          <w:tcPr>
            <w:tcW w:type="dxa" w:w="2232"/>
            <w:vAlign w:val="center"/>
          </w:tcPr>
          <w:p>
            <w:pPr>
              <w:spacing w:after="0" w:line="240" w:lineRule="auto"/>
            </w:pPr>
            <w:r/>
            <w:r>
              <w:rPr>
                <w:rFonts w:ascii="Arial" w:hAnsi="Arial"/>
                <w:b w:val="0"/>
                <w:sz w:val="18"/>
              </w:rPr>
              <w:t>21.3 / 40</w:t>
            </w:r>
          </w:p>
        </w:tc>
      </w:tr>
      <w:tr>
        <w:tc>
          <w:tcPr>
            <w:tcW w:type="dxa" w:w="2952"/>
            <w:vAlign w:val="center"/>
          </w:tcPr>
          <w:p>
            <w:pPr>
              <w:spacing w:after="0" w:line="240" w:lineRule="auto"/>
            </w:pPr>
            <w:r/>
            <w:r>
              <w:rPr>
                <w:rFonts w:ascii="Arial" w:hAnsi="Arial"/>
                <w:b w:val="0"/>
                <w:sz w:val="18"/>
              </w:rPr>
              <w:t>Testing</w:t>
            </w:r>
          </w:p>
        </w:tc>
        <w:tc>
          <w:tcPr>
            <w:tcW w:type="dxa" w:w="1800"/>
            <w:vAlign w:val="center"/>
          </w:tcPr>
          <w:p>
            <w:pPr>
              <w:spacing w:after="0" w:line="240" w:lineRule="auto"/>
            </w:pPr>
            <w:r/>
            <w:r>
              <w:rPr>
                <w:rFonts w:ascii="Arial" w:hAnsi="Arial"/>
                <w:b w:val="0"/>
                <w:sz w:val="18"/>
              </w:rPr>
              <w:t>10 / 20</w:t>
            </w:r>
          </w:p>
        </w:tc>
        <w:tc>
          <w:tcPr>
            <w:tcW w:type="dxa" w:w="1224"/>
            <w:vAlign w:val="center"/>
          </w:tcPr>
          <w:p>
            <w:pPr>
              <w:spacing w:after="0" w:line="240" w:lineRule="auto"/>
            </w:pPr>
            <w:r/>
            <w:r>
              <w:rPr>
                <w:rFonts w:ascii="Arial" w:hAnsi="Arial"/>
                <w:b w:val="0"/>
                <w:sz w:val="18"/>
              </w:rPr>
              <w:t>20%</w:t>
            </w:r>
          </w:p>
        </w:tc>
        <w:tc>
          <w:tcPr>
            <w:tcW w:type="dxa" w:w="2232"/>
            <w:vAlign w:val="center"/>
          </w:tcPr>
          <w:p>
            <w:pPr>
              <w:spacing w:after="0" w:line="240" w:lineRule="auto"/>
            </w:pPr>
            <w:r/>
            <w:r>
              <w:rPr>
                <w:rFonts w:ascii="Arial" w:hAnsi="Arial"/>
                <w:b w:val="0"/>
                <w:sz w:val="18"/>
              </w:rPr>
              <w:t>10.0 / 20</w:t>
            </w:r>
          </w:p>
        </w:tc>
      </w:tr>
      <w:tr>
        <w:tc>
          <w:tcPr>
            <w:tcW w:type="dxa" w:w="2952"/>
            <w:vAlign w:val="center"/>
            <w:shd w:fill="F2F3F4"/>
          </w:tcPr>
          <w:p>
            <w:pPr>
              <w:spacing w:after="0" w:line="240" w:lineRule="auto"/>
            </w:pPr>
            <w:r/>
            <w:r>
              <w:rPr>
                <w:rFonts w:ascii="Arial" w:hAnsi="Arial"/>
                <w:b/>
                <w:sz w:val="18"/>
              </w:rPr>
              <w:t>Estimated weighted score</w:t>
            </w:r>
          </w:p>
        </w:tc>
        <w:tc>
          <w:tcPr>
            <w:tcW w:type="dxa" w:w="1800"/>
            <w:vAlign w:val="center"/>
            <w:shd w:fill="F2F3F4"/>
          </w:tcPr>
          <w:p>
            <w:pPr>
              <w:spacing w:after="0" w:line="240" w:lineRule="auto"/>
            </w:pPr>
            <w:r/>
            <w:r>
              <w:rPr>
                <w:rFonts w:ascii="Arial" w:hAnsi="Arial"/>
                <w:b/>
                <w:sz w:val="18"/>
              </w:rPr>
              <w:t>39 / 70 raw</w:t>
            </w:r>
          </w:p>
        </w:tc>
        <w:tc>
          <w:tcPr>
            <w:tcW w:type="dxa" w:w="1224"/>
            <w:vAlign w:val="center"/>
            <w:shd w:fill="F2F3F4"/>
          </w:tcPr>
          <w:p>
            <w:pPr>
              <w:spacing w:after="0" w:line="240" w:lineRule="auto"/>
            </w:pPr>
            <w:r/>
            <w:r>
              <w:rPr>
                <w:rFonts w:ascii="Arial" w:hAnsi="Arial"/>
                <w:b/>
                <w:sz w:val="18"/>
              </w:rPr>
              <w:t>100%</w:t>
            </w:r>
          </w:p>
        </w:tc>
        <w:tc>
          <w:tcPr>
            <w:tcW w:type="dxa" w:w="2232"/>
            <w:vAlign w:val="center"/>
            <w:shd w:fill="F2F3F4"/>
          </w:tcPr>
          <w:p>
            <w:pPr>
              <w:spacing w:after="0" w:line="240" w:lineRule="auto"/>
            </w:pPr>
            <w:r/>
            <w:r>
              <w:rPr>
                <w:rFonts w:ascii="Arial" w:hAnsi="Arial"/>
                <w:b/>
                <w:sz w:val="18"/>
              </w:rPr>
              <w:t>57.3 / 100</w:t>
            </w:r>
          </w:p>
        </w:tc>
      </w:tr>
    </w:tbl>
    <w:p/>
    <w:p>
      <w:r>
        <w:t>The published rubric assigns 40% to Release Demo, 40% to Onboarding, and 20% to Testing. It does not state how to combine row points into a course percentage, so the weighted result above normalizes each section by its maximum points and then applies the published section weights. Treat 57.3/100 as an estimate, not an official grade.</w:t>
      </w:r>
    </w:p>
    <w:p>
      <w:r>
        <w:t>Board scope: 112 cards were visible; 47 carried the Sprint 2 tag (13 user stories, 33 tasks, and 1 research card). Card history matters for organization and repository scores, so the review used card activity as well as current status.</w:t>
      </w:r>
    </w:p>
    <w:p>
      <w:r>
        <w:br w:type="page"/>
      </w:r>
    </w:p>
    <w:p>
      <w:pPr>
        <w:pStyle w:val="Heading1"/>
      </w:pPr>
      <w:r>
        <w:t>Release Demo  |  40%</w:t>
      </w:r>
    </w:p>
    <w:p>
      <w:r>
        <w:t>Section result: 13/20. Evidence is from a local build of origin/dev at 9364c3b with a local PHP/MySQL test setup; live deployment behavior remains unverified.</w:t>
      </w:r>
    </w:p>
    <w:p>
      <w:pPr>
        <w:pStyle w:val="Heading2"/>
        <w:keepNext/>
      </w:pPr>
      <w:r>
        <w:rPr>
          <w:rFonts w:ascii="Arial" w:hAnsi="Arial"/>
        </w:rPr>
        <w:t>Usability  —  0/5, Unsatisfactory (binary row)</w:t>
      </w:r>
    </w:p>
    <w:p>
      <w:r>
        <w:t>The rubric permits only 0 or 5. A functionality-impacting defect occurs in the demo collaborator flow: invitations are held in an in-memory Map and disappear after reload, so the invited person loses access. The test suite records collaborator persistence as a known TODO. One functionality bug is enough for 0.</w:t>
      </w:r>
    </w:p>
    <w:p>
      <w:pPr>
        <w:spacing w:after="100"/>
        <w:ind w:left="259"/>
      </w:pPr>
      <w:r>
        <w:rPr>
          <w:b/>
        </w:rPr>
        <w:t xml:space="preserve">Evidence: </w:t>
      </w:r>
      <w:r>
        <w:t>src/services/collaborators.mock.ts; src/services/comments-integration.test.ts. This is limited to demo mode; signed-in accounts use the server-backed path.</w:t>
      </w:r>
    </w:p>
    <w:p>
      <w:pPr>
        <w:pStyle w:val="Heading2"/>
        <w:keepNext/>
      </w:pPr>
      <w:r>
        <w:rPr>
          <w:rFonts w:ascii="Arial" w:hAnsi="Arial"/>
        </w:rPr>
        <w:t>Sizing &amp; Security  —  5/5, Exemplary</w:t>
      </w:r>
    </w:p>
    <w:p>
      <w:r>
        <w:t>The responsive check found no horizontal overflow across four routes at 11 viewport widths from 320 to 1920 px. Passwords are stored as hashes using Argon2id when available and bcrypt otherwise; both are salted. Local security checks passed.</w:t>
      </w:r>
    </w:p>
    <w:p>
      <w:pPr>
        <w:spacing w:after="100"/>
        <w:ind w:left="259"/>
      </w:pPr>
      <w:r>
        <w:rPr>
          <w:b/>
        </w:rPr>
        <w:t xml:space="preserve">Evidence: </w:t>
      </w:r>
      <w:r>
        <w:t>44 route/width checks; backend/lib/security.php; backend/tests/security.php.</w:t>
      </w:r>
    </w:p>
    <w:p>
      <w:pPr>
        <w:pStyle w:val="Heading2"/>
        <w:keepNext/>
      </w:pPr>
      <w:r>
        <w:rPr>
          <w:rFonts w:ascii="Arial" w:hAnsi="Arial"/>
        </w:rPr>
        <w:t>Requirements  —  4/5, Satisfactory</w:t>
      </w:r>
    </w:p>
    <w:p>
      <w:r>
        <w:t>All 13 Sprint 2 story titles follow the course template, and most completed outcomes match their acceptance tests. The remaining tagged scope is not all delivered: #12 is Planned, #22 is In Progress, and #21 is a Sprint 1 carryover now tagged Sprint 2 and Closed. The demo collaborator persistence defect also leaves a documented exception. Story #92 has a broken acceptance-test sequence, detailed in Testing.</w:t>
      </w:r>
    </w:p>
    <w:p>
      <w:pPr>
        <w:spacing w:after="100"/>
        <w:ind w:left="259"/>
      </w:pPr>
      <w:r>
        <w:rPr>
          <w:b/>
        </w:rPr>
        <w:t xml:space="preserve">Evidence: </w:t>
      </w:r>
      <w:r>
        <w:t>Stories #11, #23, #92–98, and #114 are marked Complete; #12 is Planned; #22 is In Progress; #21 is Closed.</w:t>
      </w:r>
    </w:p>
    <w:p>
      <w:pPr>
        <w:pStyle w:val="Heading2"/>
        <w:keepNext/>
      </w:pPr>
      <w:r>
        <w:rPr>
          <w:rFonts w:ascii="Arial" w:hAnsi="Arial"/>
        </w:rPr>
        <w:t>Release  —  4/5, Satisfactory</w:t>
      </w:r>
    </w:p>
    <w:p>
      <w:r>
        <w:t>The local snapshot builds from repository files, and the repository contains the app, backend, migrations, tests, and setup notes. Of 33 Sprint 2 task cards, 31 are Complete and #71 and #73 remain Planned with Sprint 3 carryover tags. Task #113 has prose checks rather than the labeled, numbered task tests required by the standards. Git integration timing also has serious problems, graded under Onboarding.</w:t>
      </w:r>
    </w:p>
    <w:p>
      <w:pPr>
        <w:spacing w:after="100"/>
        <w:ind w:left="259"/>
      </w:pPr>
      <w:r>
        <w:rPr>
          <w:b/>
        </w:rPr>
        <w:t xml:space="preserve">Evidence: </w:t>
      </w:r>
      <w:r>
        <w:t>Sprint 2 board snapshot; README.md; task #113.</w:t>
      </w:r>
    </w:p>
    <w:p>
      <w:r>
        <w:br w:type="page"/>
      </w:r>
    </w:p>
    <w:p>
      <w:pPr>
        <w:pStyle w:val="Heading1"/>
      </w:pPr>
      <w:r>
        <w:t>Onboarding  |  40%</w:t>
      </w:r>
    </w:p>
    <w:p>
      <w:r>
        <w:t>Section result: 16/30. The rubric has six rows. Several rows have hard thresholds, so a single qualifying board or Git event can determine the score even when the rest of the process is strong.</w:t>
      </w:r>
    </w:p>
    <w:p>
      <w:pPr>
        <w:pStyle w:val="Heading2"/>
        <w:keepNext/>
      </w:pPr>
      <w:r>
        <w:rPr>
          <w:rFonts w:ascii="Arial" w:hAnsi="Arial"/>
        </w:rPr>
        <w:t>Scrum Board Organization  —  0/5, Unsatisfactory (binary row)</w:t>
      </w:r>
    </w:p>
    <w:p>
      <w:r>
        <w:t>The rubric says 0 if any Sprint 2 story or task moved to Backlog from another list. Story #22 moved to Backlog on October 1 and again on October 2; its comments call one move accidental. Story #95 and task #73 also show Planned-to-Backlog history. The explanations do not create an exception in the rubric, so this row is 0.</w:t>
      </w:r>
    </w:p>
    <w:p>
      <w:pPr>
        <w:spacing w:after="100"/>
        <w:ind w:left="259"/>
      </w:pPr>
      <w:r>
        <w:rPr>
          <w:b/>
        </w:rPr>
        <w:t xml:space="preserve">Evidence: </w:t>
      </w:r>
      <w:r>
        <w:t>Card #22 activity: Backlog move October 1, 5:10 p.m., and October 2, 12:53 a.m.; #95 moved to Backlog October 1; #73 moved to Backlog September 26.</w:t>
      </w:r>
    </w:p>
    <w:p>
      <w:pPr>
        <w:pStyle w:val="Heading2"/>
        <w:keepNext/>
      </w:pPr>
      <w:r>
        <w:rPr>
          <w:rFonts w:ascii="Arial" w:hAnsi="Arial"/>
        </w:rPr>
        <w:t>User Stories  —  4/5, Satisfactory</w:t>
      </w:r>
    </w:p>
    <w:p>
      <w:r>
        <w:t>All 13 Sprint 2 stories have task dependencies and acceptance-test descriptions. Most include a happy path and relevant alternate paths; for example, #12 has eight tests, #22 has eleven, and #97 covers editing, replacement, and cancellation. I stop at 4 because #92’s only labeled successful end-to-end test creates an account with one password and then attempts to log in with a different one. That weakens the evidence that every story has a valid happy path, even though the card contains many alternate cases.</w:t>
      </w:r>
    </w:p>
    <w:p>
      <w:pPr>
        <w:spacing w:after="100"/>
        <w:ind w:left="259"/>
      </w:pPr>
      <w:r>
        <w:rPr>
          <w:b/>
        </w:rPr>
        <w:t xml:space="preserve">Evidence: </w:t>
      </w:r>
      <w:r>
        <w:t>#92 Test 1, steps 5 and 14; #12 dependencies #71/#73; #22 dependencies #64–69; #97 dependencies #109/#110.</w:t>
      </w:r>
    </w:p>
    <w:p>
      <w:pPr>
        <w:pStyle w:val="Heading2"/>
        <w:keepNext/>
      </w:pPr>
      <w:r>
        <w:rPr>
          <w:rFonts w:ascii="Arial" w:hAnsi="Arial"/>
        </w:rPr>
        <w:t>Tasks  —  4/5, Satisfactory</w:t>
      </w:r>
    </w:p>
    <w:p>
      <w:r>
        <w:t>The 33 Sprint 2 task cards are each linked as a dependency of one story, and most file-changing tasks link to a task branch. The documentation task #113 has a short prose verification instruction, but it is not labeled as a test, has no numbered steps, and does not state exact expected output. Several task branch links are also shared or do not identify a single task cleanly, which keeps this below 5.</w:t>
      </w:r>
    </w:p>
    <w:p>
      <w:pPr>
        <w:spacing w:after="100"/>
        <w:ind w:left="259"/>
      </w:pPr>
      <w:r>
        <w:rPr>
          <w:b/>
        </w:rPr>
        <w:t xml:space="preserve">Evidence: </w:t>
      </w:r>
      <w:r>
        <w:t>#113 says to follow Quick Start and verify that the app serves and opens the demo workspace; #101 and #102 both use the branch name fix-stacked-accents.</w:t>
      </w:r>
    </w:p>
    <w:p>
      <w:pPr>
        <w:pStyle w:val="Heading2"/>
        <w:keepNext/>
      </w:pPr>
      <w:r>
        <w:rPr>
          <w:rFonts w:ascii="Arial" w:hAnsi="Arial"/>
        </w:rPr>
        <w:t>Git Repo  —  0/5, Unsatisfactory (binary row)</w:t>
      </w:r>
    </w:p>
    <w:p>
      <w:r>
        <w:t>There are independent hard failures. Task #71 is still Planned on the board although PR #11 merged its branch into dev on September 27. Task #106 is marked Complete while its PR #27 is still Open. Either timing/state mismatch is enough for 0 under the rubric.</w:t>
      </w:r>
    </w:p>
    <w:p>
      <w:pPr>
        <w:spacing w:after="100"/>
        <w:ind w:left="259"/>
      </w:pPr>
      <w:r>
        <w:rPr>
          <w:b/>
        </w:rPr>
        <w:t xml:space="preserve">Evidence: </w:t>
      </w:r>
      <w:r>
        <w:t>Board #71 and #106; github.com/cse442-software-engineering-ub/f26-semester-project-sinchi5/pull/11 (merged) and /pull/27 (open at review).</w:t>
      </w:r>
    </w:p>
    <w:p>
      <w:pPr>
        <w:pStyle w:val="Heading2"/>
        <w:keepNext/>
      </w:pPr>
      <w:r>
        <w:rPr>
          <w:rFonts w:ascii="Arial" w:hAnsi="Arial"/>
        </w:rPr>
        <w:t>Branch Names  —  4/5, Satisfactory</w:t>
      </w:r>
    </w:p>
    <w:p>
      <w:r>
        <w:t>Most task branches identify the card number and describe the work. Some do not meet the naming rule: account_implementation and fix-stacked-accents omit the task number, and 120-security-hardening reuses #120 for work that does not match the card’s integration task. The pattern is mostly followed, but not consistently enough for 5.</w:t>
      </w:r>
    </w:p>
    <w:p>
      <w:pPr>
        <w:spacing w:after="100"/>
        <w:ind w:left="259"/>
      </w:pPr>
      <w:r>
        <w:rPr>
          <w:b/>
        </w:rPr>
        <w:t xml:space="preserve">Evidence: </w:t>
      </w:r>
      <w:r>
        <w:t>Remote branch names reviewed from origin/dev and the task links on the Scrumboard.</w:t>
      </w:r>
    </w:p>
    <w:p>
      <w:pPr>
        <w:pStyle w:val="Heading2"/>
        <w:keepNext/>
      </w:pPr>
      <w:r>
        <w:rPr>
          <w:rFonts w:ascii="Arial" w:hAnsi="Arial"/>
        </w:rPr>
        <w:t>Commit Messages  —  4/5, Satisfactory</w:t>
      </w:r>
    </w:p>
    <w:p>
      <w:r>
        <w:t>Most commit subjects explain the change, and the reviewed Sprint 2 history does not show the generic “Add files via upload” message. Some subjects say what changed without explaining why it matters—for example, “Add create note editor #105.” The rubric’s 5-point row requires most first lines to state why the change matters, so this earns 4.</w:t>
      </w:r>
    </w:p>
    <w:p>
      <w:pPr>
        <w:spacing w:after="100"/>
        <w:ind w:left="259"/>
      </w:pPr>
      <w:r>
        <w:rPr>
          <w:b/>
        </w:rPr>
        <w:t xml:space="preserve">Evidence: </w:t>
      </w:r>
      <w:r>
        <w:t>Commit subject review on the fetched Sprint 2 dev history.</w:t>
      </w:r>
    </w:p>
    <w:p>
      <w:r>
        <w:br w:type="page"/>
      </w:r>
    </w:p>
    <w:p>
      <w:pPr>
        <w:pStyle w:val="Heading1"/>
      </w:pPr>
      <w:r>
        <w:t>Testing  |  20%</w:t>
      </w:r>
    </w:p>
    <w:p>
      <w:r>
        <w:t>Section result: 10/20. I applied the rubric’s binary Acceptance Test Definition rule to the current card text, including edits made after earlier test comments.</w:t>
      </w:r>
    </w:p>
    <w:p>
      <w:pPr>
        <w:pStyle w:val="Heading2"/>
        <w:keepNext/>
      </w:pPr>
      <w:r>
        <w:rPr>
          <w:rFonts w:ascii="Arial" w:hAnsi="Arial"/>
        </w:rPr>
        <w:t>Acceptance Test Definition  —  0/5, Unsatisfactory (binary row)</w:t>
      </w:r>
    </w:p>
    <w:p>
      <w:r>
        <w:t>Completed Sprint 2 story #92 has a test that cannot complete as written. Test 1 creates the account with DifferentPassword123! in step 5, then tries to log in with Password123! in step 14. That login should fail. The card is Complete, and the rubric assigns 0 if one acceptance test for a completed story fails. An earlier activity comment says the tests passed, but the current test text contains the mismatch.</w:t>
      </w:r>
    </w:p>
    <w:p>
      <w:pPr>
        <w:spacing w:after="100"/>
        <w:ind w:left="259"/>
      </w:pPr>
      <w:r>
        <w:rPr>
          <w:b/>
        </w:rPr>
        <w:t xml:space="preserve">Evidence: </w:t>
      </w:r>
      <w:r>
        <w:t>Story #92 Test 1, steps 5 and 14; status Complete. This is the deciding evidence for the binary score.</w:t>
      </w:r>
    </w:p>
    <w:p>
      <w:pPr>
        <w:pStyle w:val="Heading2"/>
        <w:keepNext/>
      </w:pPr>
      <w:r>
        <w:rPr>
          <w:rFonts w:ascii="Arial" w:hAnsi="Arial"/>
        </w:rPr>
        <w:t>Acceptance Test Efficacy  —  2/5, Developing (conservative lower band)</w:t>
      </w:r>
    </w:p>
    <w:p>
      <w:r>
        <w:t>Many tests have useful, concrete inputs and expected outcomes, and most are ordinary user workflows. Several exceptions keep the set below Satisfactory, whose wording requires every test to specify all inputs and exact results and most tests to be runnable by an untrained user. Story #11 tests 2–3 require direct API calls; #12 test 6 requires calling an unspecified invitation endpoint and test 7 says to simulate a server or network failure without explaining how; #22 tests 6–7 depend on “Prototype preview options”; #114 test 7 says “open the PROD address” without giving its URL. #92’s password mismatch also breaks its stated happy path. I use 2 because these are repeated gaps, not just a single typo, while the many detailed tests keep the row above 0.</w:t>
      </w:r>
    </w:p>
    <w:p>
      <w:pPr>
        <w:spacing w:after="100"/>
        <w:ind w:left="259"/>
      </w:pPr>
      <w:r>
        <w:rPr>
          <w:b/>
        </w:rPr>
        <w:t xml:space="preserve">Evidence: </w:t>
      </w:r>
      <w:r>
        <w:t>Examples: #11 tests 2–3; #12 tests 6–7; #22 tests 6–7; #92 Test 1; #114 test 7.</w:t>
      </w:r>
    </w:p>
    <w:p>
      <w:pPr>
        <w:pStyle w:val="Heading2"/>
        <w:keepNext/>
      </w:pPr>
      <w:r>
        <w:rPr>
          <w:rFonts w:ascii="Arial" w:hAnsi="Arial"/>
        </w:rPr>
        <w:t>Unit and Task Test Definition  —  4/5, Satisfactory</w:t>
      </w:r>
    </w:p>
    <w:p>
      <w:r>
        <w:t>Every Sprint 2 story has task dependencies. Most task cards include tests or verification steps, and the completed task checks are supported by the recorded local unit, backend, and browser results. Task #113’s description is only an informal Quick Start check rather than a labeled task test, so I do not award 5 for every task having a proper test definition.</w:t>
      </w:r>
    </w:p>
    <w:p>
      <w:pPr>
        <w:spacing w:after="100"/>
        <w:ind w:left="259"/>
      </w:pPr>
      <w:r>
        <w:rPr>
          <w:b/>
        </w:rPr>
        <w:t xml:space="preserve">Evidence: </w:t>
      </w:r>
      <w:r>
        <w:t>The local run recorded 104 unit tests passing with 1 TODO and 139 browser tests passing; backend security, schema, configuration, and HTTP checks passed. #113 is the documentation-format exception.</w:t>
      </w:r>
    </w:p>
    <w:p>
      <w:pPr>
        <w:pStyle w:val="Heading2"/>
        <w:keepNext/>
      </w:pPr>
      <w:r>
        <w:rPr>
          <w:rFonts w:ascii="Arial" w:hAnsi="Arial"/>
        </w:rPr>
        <w:t>Unit and Task Test Efficacy  —  4/5, Satisfactory</w:t>
      </w:r>
    </w:p>
    <w:p>
      <w:r>
        <w:t>Most task tests give specific inputs and observable outputs. For example, #73 specifies request bodies, HTTP statuses, response bodies, and collaborator-list results. Task #113 only says the app should serve and the demo workspace should open; it does not state exact output or a precise pass/fail check. That prevents an all-task 5.</w:t>
      </w:r>
    </w:p>
    <w:p>
      <w:pPr>
        <w:spacing w:after="100"/>
        <w:ind w:left="259"/>
      </w:pPr>
      <w:r>
        <w:rPr>
          <w:b/>
        </w:rPr>
        <w:t xml:space="preserve">Evidence: </w:t>
      </w:r>
      <w:r>
        <w:t>#73 task test description; #113 task test description.</w:t>
      </w:r>
    </w:p>
    <w:p>
      <w:pPr>
        <w:pStyle w:val="Heading1"/>
      </w:pPr>
      <w:r>
        <w:t>Scope and references</w:t>
      </w:r>
    </w:p>
    <w:p>
      <w:r>
        <w:t>This is a self-grade, not an instructor score. It uses the local origin/dev snapshot at 9364c3b; live TEST and PROD behavior, deployment configuration, and production migrations were not checked. The rubric and development standards are the published course pages. Board history and card descriptions were reviewed in the PM Tool, and repository findings use the local checkout and linked pull requests.</w:t>
      </w:r>
    </w:p>
    <w:p>
      <w:pPr>
        <w:pStyle w:val="ListBullet"/>
        <w:spacing w:after="20"/>
      </w:pPr>
      <w:r>
        <w:t>Sprint 2 grading rubric: https://webdev.cse.buffalo.edu/cse404/442rubric2/</w:t>
      </w:r>
    </w:p>
    <w:p>
      <w:pPr>
        <w:pStyle w:val="ListBullet"/>
        <w:spacing w:after="20"/>
      </w:pPr>
      <w:r>
        <w:t>Development standards: https://webdev.cse.buffalo.edu/cse404/guidelines/</w:t>
      </w:r>
    </w:p>
    <w:p>
      <w:pPr>
        <w:pStyle w:val="ListBullet"/>
        <w:spacing w:after="20"/>
      </w:pPr>
      <w:r>
        <w:t>Team Scrumboard: https://webdev.cse.buffalo.edu/pmtool/scrumboard.php?teamId=1620&amp;courseId=255</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Sprint 2 self-grade  •  9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NOTELY  |  CSE 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E2B36"/>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E2B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E2B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442 Sprint 2 Self-Grade</dc:title>
  <dc:subject>Release Demo, Onboarding, and Testing rubric assessment</dc:subject>
  <dc:creator>Oliver Varney</dc:creator>
  <cp:keywords/>
  <dc:description>generated by python-docx</dc:description>
  <cp:lastModifiedBy/>
  <cp:revision>1</cp:revision>
  <dcterms:created xsi:type="dcterms:W3CDTF">2013-12-23T23:15:00Z</dcterms:created>
  <dcterms:modified xsi:type="dcterms:W3CDTF">2013-12-23T23:15:00Z</dcterms:modified>
  <cp:category/>
</cp:coreProperties>
</file>