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rPr>
          <w:b w:val="1"/>
          <w:bCs w:val="1"/>
          <w:sz w:val="32"/>
          <w:szCs w:val="32"/>
        </w:rPr>
      </w:pPr>
      <w:r w:rsidDel="00000000" w:rsidR="00000000" w:rsidRPr="00000000">
        <w:rPr>
          <w:b w:val="1"/>
          <w:bCs w:val="1"/>
          <w:sz w:val="32"/>
          <w:szCs w:val="32"/>
          <w:rtl w:val="0"/>
        </w:rPr>
        <w:t xml:space="preserve">Sprint 2 Release Demo Self-Grade</w:t>
      </w:r>
    </w:p>
    <w:p w:rsidR="00000000" w:rsidDel="00000000" w:rsidP="00000000" w:rsidRDefault="00000000" w:rsidRPr="00000000" w14:paraId="00000002">
      <w:pPr>
        <w:spacing w:after="140" w:lineRule="auto"/>
        <w:rPr>
          <w:b w:val="1"/>
          <w:bCs w:val="1"/>
          <w:sz w:val="32"/>
          <w:szCs w:val="32"/>
        </w:rPr>
      </w:pPr>
      <w:r w:rsidDel="00000000" w:rsidR="00000000" w:rsidRPr="00000000">
        <w:rPr>
          <w:b w:val="1"/>
          <w:bCs w:val="1"/>
          <w:sz w:val="32"/>
          <w:szCs w:val="32"/>
          <w:rtl w:val="0"/>
        </w:rPr>
        <w:t xml:space="preserve">Total grade: 13/20 + 16/30 + 10/20 = 39/70 = 57.3/100</w:t>
      </w:r>
    </w:p>
    <w:p w:rsidR="00000000" w:rsidDel="00000000" w:rsidP="00000000" w:rsidRDefault="00000000" w:rsidRPr="00000000" w14:paraId="00000003">
      <w:pPr>
        <w:spacing w:after="180" w:lineRule="auto"/>
        <w:rPr/>
      </w:pPr>
      <w:r w:rsidDel="00000000" w:rsidR="00000000" w:rsidRPr="00000000">
        <w:rPr>
          <w:b w:val="1"/>
          <w:bCs w:val="1"/>
          <w:rtl w:val="0"/>
        </w:rPr>
        <w:t xml:space="preserve">Project: Notely   |   Date: October 9, 2026</w:t>
      </w: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Release Demo</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05">
            <w:pPr>
              <w:spacing w:after="0" w:line="240" w:lineRule="auto"/>
              <w:rPr/>
            </w:pPr>
            <w:r w:rsidDel="00000000" w:rsidR="00000000" w:rsidRPr="00000000">
              <w:rPr>
                <w:b w:val="1"/>
                <w:bCs w:val="1"/>
                <w:sz w:val="21"/>
                <w:szCs w:val="21"/>
                <w:rtl w:val="0"/>
              </w:rPr>
              <w:t xml:space="preserve">Rubric row</w:t>
            </w:r>
            <w:r w:rsidDel="00000000" w:rsidR="00000000" w:rsidRPr="00000000">
              <w:rPr>
                <w:rtl w:val="0"/>
              </w:rPr>
            </w:r>
          </w:p>
        </w:tc>
        <w:tc>
          <w:tcPr>
            <w:vAlign w:val="center"/>
          </w:tcPr>
          <w:p w:rsidR="00000000" w:rsidDel="00000000" w:rsidP="00000000" w:rsidRDefault="00000000" w:rsidRPr="00000000" w14:paraId="00000006">
            <w:pPr>
              <w:spacing w:after="0" w:line="240" w:lineRule="auto"/>
              <w:rPr/>
            </w:pPr>
            <w:r w:rsidDel="00000000" w:rsidR="00000000" w:rsidRPr="00000000">
              <w:rPr>
                <w:b w:val="1"/>
                <w:bCs w:val="1"/>
                <w:sz w:val="21"/>
                <w:szCs w:val="21"/>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0" w:line="240" w:lineRule="auto"/>
              <w:rPr/>
            </w:pPr>
            <w:r w:rsidDel="00000000" w:rsidR="00000000" w:rsidRPr="00000000">
              <w:rPr>
                <w:sz w:val="21"/>
                <w:szCs w:val="21"/>
                <w:rtl w:val="0"/>
              </w:rPr>
              <w:t xml:space="preserve">Usability</w:t>
            </w:r>
            <w:r w:rsidDel="00000000" w:rsidR="00000000" w:rsidRPr="00000000">
              <w:rPr>
                <w:rtl w:val="0"/>
              </w:rPr>
            </w:r>
          </w:p>
        </w:tc>
        <w:tc>
          <w:tcPr/>
          <w:p w:rsidR="00000000" w:rsidDel="00000000" w:rsidP="00000000" w:rsidRDefault="00000000" w:rsidRPr="00000000" w14:paraId="00000008">
            <w:pPr>
              <w:spacing w:after="0" w:line="240" w:lineRule="auto"/>
              <w:rPr/>
            </w:pPr>
            <w:r w:rsidDel="00000000" w:rsidR="00000000" w:rsidRPr="00000000">
              <w:rPr>
                <w:sz w:val="21"/>
                <w:szCs w:val="21"/>
                <w:rtl w:val="0"/>
              </w:rPr>
              <w:t xml:space="preserve">0 / 5</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rPr/>
            </w:pPr>
            <w:r w:rsidDel="00000000" w:rsidR="00000000" w:rsidRPr="00000000">
              <w:rPr>
                <w:sz w:val="21"/>
                <w:szCs w:val="21"/>
                <w:rtl w:val="0"/>
              </w:rPr>
              <w:t xml:space="preserve">Sizing and Security</w:t>
            </w:r>
            <w:r w:rsidDel="00000000" w:rsidR="00000000" w:rsidRPr="00000000">
              <w:rPr>
                <w:rtl w:val="0"/>
              </w:rPr>
            </w:r>
          </w:p>
        </w:tc>
        <w:tc>
          <w:tcPr/>
          <w:p w:rsidR="00000000" w:rsidDel="00000000" w:rsidP="00000000" w:rsidRDefault="00000000" w:rsidRPr="00000000" w14:paraId="0000000A">
            <w:pPr>
              <w:spacing w:after="0" w:line="240" w:lineRule="auto"/>
              <w:rPr/>
            </w:pPr>
            <w:r w:rsidDel="00000000" w:rsidR="00000000" w:rsidRPr="00000000">
              <w:rPr>
                <w:sz w:val="21"/>
                <w:szCs w:val="21"/>
                <w:rtl w:val="0"/>
              </w:rPr>
              <w:t xml:space="preserve">5 / 5</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0" w:line="240" w:lineRule="auto"/>
              <w:rPr/>
            </w:pPr>
            <w:r w:rsidDel="00000000" w:rsidR="00000000" w:rsidRPr="00000000">
              <w:rPr>
                <w:sz w:val="21"/>
                <w:szCs w:val="21"/>
                <w:rtl w:val="0"/>
              </w:rPr>
              <w:t xml:space="preserve">Requirements</w:t>
            </w:r>
            <w:r w:rsidDel="00000000" w:rsidR="00000000" w:rsidRPr="00000000">
              <w:rPr>
                <w:rtl w:val="0"/>
              </w:rPr>
            </w:r>
          </w:p>
        </w:tc>
        <w:tc>
          <w:tcPr/>
          <w:p w:rsidR="00000000" w:rsidDel="00000000" w:rsidP="00000000" w:rsidRDefault="00000000" w:rsidRPr="00000000" w14:paraId="0000000C">
            <w:pPr>
              <w:spacing w:after="0" w:line="240" w:lineRule="auto"/>
              <w:rPr/>
            </w:pPr>
            <w:r w:rsidDel="00000000" w:rsidR="00000000" w:rsidRPr="00000000">
              <w:rPr>
                <w:sz w:val="21"/>
                <w:szCs w:val="21"/>
                <w:rtl w:val="0"/>
              </w:rPr>
              <w:t xml:space="preserve">4 / 5</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0" w:line="240" w:lineRule="auto"/>
              <w:rPr/>
            </w:pPr>
            <w:r w:rsidDel="00000000" w:rsidR="00000000" w:rsidRPr="00000000">
              <w:rPr>
                <w:sz w:val="21"/>
                <w:szCs w:val="21"/>
                <w:rtl w:val="0"/>
              </w:rPr>
              <w:t xml:space="preserve">Release</w:t>
            </w:r>
            <w:r w:rsidDel="00000000" w:rsidR="00000000" w:rsidRPr="00000000">
              <w:rPr>
                <w:rtl w:val="0"/>
              </w:rPr>
            </w:r>
          </w:p>
        </w:tc>
        <w:tc>
          <w:tcPr/>
          <w:p w:rsidR="00000000" w:rsidDel="00000000" w:rsidP="00000000" w:rsidRDefault="00000000" w:rsidRPr="00000000" w14:paraId="0000000E">
            <w:pPr>
              <w:spacing w:after="0" w:line="240" w:lineRule="auto"/>
              <w:rPr/>
            </w:pPr>
            <w:r w:rsidDel="00000000" w:rsidR="00000000" w:rsidRPr="00000000">
              <w:rPr>
                <w:sz w:val="21"/>
                <w:szCs w:val="21"/>
                <w:rtl w:val="0"/>
              </w:rPr>
              <w:t xml:space="preserve">4 / 5</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0" w:line="240" w:lineRule="auto"/>
              <w:rPr/>
            </w:pPr>
            <w:r w:rsidDel="00000000" w:rsidR="00000000" w:rsidRPr="00000000">
              <w:rPr>
                <w:b w:val="1"/>
                <w:bCs w:val="1"/>
                <w:sz w:val="21"/>
                <w:szCs w:val="21"/>
                <w:rtl w:val="0"/>
              </w:rPr>
              <w:t xml:space="preserve">Total</w:t>
            </w:r>
            <w:r w:rsidDel="00000000" w:rsidR="00000000" w:rsidRPr="00000000">
              <w:rPr>
                <w:rtl w:val="0"/>
              </w:rPr>
            </w:r>
          </w:p>
        </w:tc>
        <w:tc>
          <w:tcPr/>
          <w:p w:rsidR="00000000" w:rsidDel="00000000" w:rsidP="00000000" w:rsidRDefault="00000000" w:rsidRPr="00000000" w14:paraId="00000010">
            <w:pPr>
              <w:spacing w:after="0" w:line="240" w:lineRule="auto"/>
              <w:rPr/>
            </w:pPr>
            <w:r w:rsidDel="00000000" w:rsidR="00000000" w:rsidRPr="00000000">
              <w:rPr>
                <w:b w:val="1"/>
                <w:bCs w:val="1"/>
                <w:sz w:val="21"/>
                <w:szCs w:val="21"/>
                <w:rtl w:val="0"/>
              </w:rPr>
              <w:t xml:space="preserve">13 / 20</w:t>
            </w:r>
            <w:r w:rsidDel="00000000" w:rsidR="00000000" w:rsidRPr="00000000">
              <w:rPr>
                <w:rtl w:val="0"/>
              </w:rPr>
            </w:r>
          </w:p>
        </w:tc>
      </w:tr>
    </w:tbl>
    <w:p w:rsidR="00000000" w:rsidDel="00000000" w:rsidP="00000000" w:rsidRDefault="00000000" w:rsidRPr="00000000" w14:paraId="00000011">
      <w:pPr>
        <w:pStyle w:val="Heading1"/>
        <w:rPr/>
      </w:pPr>
      <w:r w:rsidDel="00000000" w:rsidR="00000000" w:rsidRPr="00000000">
        <w:rPr>
          <w:rtl w:val="0"/>
        </w:rPr>
        <w:t xml:space="preserve">Usability — 0/5</w:t>
      </w:r>
    </w:p>
    <w:p w:rsidR="00000000" w:rsidDel="00000000" w:rsidP="00000000" w:rsidRDefault="00000000" w:rsidRPr="00000000" w14:paraId="00000012">
      <w:pPr>
        <w:rPr/>
      </w:pPr>
      <w:r w:rsidDel="00000000" w:rsidR="00000000" w:rsidRPr="00000000">
        <w:rPr>
          <w:rtl w:val="0"/>
        </w:rPr>
        <w:t xml:space="preserve">This can only be a 0 or a 5, if you do something we have implemented on the front end but not back end, after reload it disappears. This could be considered a “bug” and may give a 0. It might be safer to have some kind of popup that says something like “X coming soon!”.</w:t>
      </w:r>
    </w:p>
    <w:p w:rsidR="00000000" w:rsidDel="00000000" w:rsidP="00000000" w:rsidRDefault="00000000" w:rsidRPr="00000000" w14:paraId="00000013">
      <w:pPr>
        <w:pStyle w:val="Heading1"/>
        <w:rPr/>
      </w:pPr>
      <w:r w:rsidDel="00000000" w:rsidR="00000000" w:rsidRPr="00000000">
        <w:rPr>
          <w:rtl w:val="0"/>
        </w:rPr>
        <w:t xml:space="preserve">Sizing and Security — 5/5</w:t>
      </w:r>
    </w:p>
    <w:p w:rsidR="00000000" w:rsidDel="00000000" w:rsidP="00000000" w:rsidRDefault="00000000" w:rsidRPr="00000000" w14:paraId="00000014">
      <w:pPr>
        <w:rPr/>
      </w:pPr>
      <w:r w:rsidDel="00000000" w:rsidR="00000000" w:rsidRPr="00000000">
        <w:rPr>
          <w:rtl w:val="0"/>
        </w:rPr>
        <w:t xml:space="preserve">Sizing and security is fine</w:t>
      </w:r>
    </w:p>
    <w:p w:rsidR="00000000" w:rsidDel="00000000" w:rsidP="00000000" w:rsidRDefault="00000000" w:rsidRPr="00000000" w14:paraId="00000015">
      <w:pPr>
        <w:pStyle w:val="Heading1"/>
        <w:rPr/>
      </w:pPr>
      <w:r w:rsidDel="00000000" w:rsidR="00000000" w:rsidRPr="00000000">
        <w:rPr>
          <w:rtl w:val="0"/>
        </w:rPr>
        <w:t xml:space="preserve">Requirements — 4/5</w:t>
      </w:r>
    </w:p>
    <w:p w:rsidR="00000000" w:rsidDel="00000000" w:rsidP="00000000" w:rsidRDefault="00000000" w:rsidRPr="00000000" w14:paraId="00000016">
      <w:pPr>
        <w:rPr/>
      </w:pPr>
      <w:r w:rsidDel="00000000" w:rsidR="00000000" w:rsidRPr="00000000">
        <w:rPr>
          <w:rtl w:val="0"/>
        </w:rPr>
        <w:t xml:space="preserve">All 13 Sprint 2 user-story titles follow the required “As a role, I want action which is confirmed by observable outcome” template. Ten stories are Complete; #12 in Planned, #22 in In Progress, and #21 is Closed with a Sprint 1 carryover tag. Local checks cover the main completed note, history, account, and sharing workflows. I give 4 because these checks support most matches, but do not establish that every completed feature matches every acceptance path; the demo collaboration reload issue is a remaining concern. Unfinished stories are scope to finish, not automatic failures of completed features. Stories #98 and #114 also overlap on deletion and would benefit from a clearer distinction.</w:t>
      </w:r>
    </w:p>
    <w:p w:rsidR="00000000" w:rsidDel="00000000" w:rsidP="00000000" w:rsidRDefault="00000000" w:rsidRPr="00000000" w14:paraId="00000017">
      <w:pPr>
        <w:pStyle w:val="Heading1"/>
        <w:pageBreakBefore w:val="1"/>
        <w:rPr/>
      </w:pPr>
      <w:r w:rsidDel="00000000" w:rsidR="00000000" w:rsidRPr="00000000">
        <w:rPr>
          <w:rtl w:val="0"/>
        </w:rPr>
        <w:t xml:space="preserve">Release — 4/5</w:t>
      </w:r>
    </w:p>
    <w:p w:rsidR="00000000" w:rsidDel="00000000" w:rsidP="00000000" w:rsidRDefault="00000000" w:rsidRPr="00000000" w14:paraId="00000018">
      <w:pPr>
        <w:rPr/>
      </w:pPr>
      <w:r w:rsidDel="00000000" w:rsidR="00000000" w:rsidRPr="00000000">
        <w:rPr>
          <w:rtl w:val="0"/>
        </w:rPr>
        <w:t xml:space="preserve">The app, API, migrations, tests, and setup files are in the repository, and the local build passed. Of 33 Sprint 2 tasks, 31 are Complete. Tasks #71 and #73 remain Planned with Sprint 2 and Sprint 3 tags. Their visible comments say tests were added, but do not explain the issue preventing completion and the steps taken to resolve it. That supports the rubric’s “most tasks” level, rather than its all-tasks condition for 5. Task #73’s planned test uses noteId where the current API expects id and its test should be corrected before implementation.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Onboarding</w:t>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1B">
            <w:pPr>
              <w:rPr/>
            </w:pPr>
            <w:r w:rsidDel="00000000" w:rsidR="00000000" w:rsidRPr="00000000">
              <w:rPr>
                <w:b w:val="1"/>
                <w:bCs w:val="1"/>
                <w:sz w:val="21"/>
                <w:szCs w:val="21"/>
                <w:rtl w:val="0"/>
              </w:rPr>
              <w:t xml:space="preserve">Rubric row</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b w:val="1"/>
                <w:bCs w:val="1"/>
                <w:sz w:val="21"/>
                <w:szCs w:val="21"/>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sz w:val="21"/>
                <w:szCs w:val="21"/>
                <w:rtl w:val="0"/>
              </w:rPr>
              <w:t xml:space="preserve">Scrum Board Org</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21"/>
                <w:szCs w:val="21"/>
                <w:rtl w:val="0"/>
              </w:rPr>
              <w:t xml:space="preserve">0 / 5</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sz w:val="21"/>
                <w:szCs w:val="21"/>
                <w:rtl w:val="0"/>
              </w:rPr>
              <w:t xml:space="preserve">User Stories</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21"/>
                <w:szCs w:val="21"/>
                <w:rtl w:val="0"/>
              </w:rPr>
              <w:t xml:space="preserve">4 / 5</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sz w:val="21"/>
                <w:szCs w:val="21"/>
                <w:rtl w:val="0"/>
              </w:rPr>
              <w:t xml:space="preserve">Tasks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21"/>
                <w:szCs w:val="21"/>
                <w:rtl w:val="0"/>
              </w:rPr>
              <w:t xml:space="preserve">4 / 5</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sz w:val="21"/>
                <w:szCs w:val="21"/>
                <w:rtl w:val="0"/>
              </w:rPr>
              <w:t xml:space="preserve">Git Repo</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21"/>
                <w:szCs w:val="21"/>
                <w:rtl w:val="0"/>
              </w:rPr>
              <w:t xml:space="preserve">0 / 5</w:t>
            </w:r>
            <w:r w:rsidDel="00000000" w:rsidR="00000000" w:rsidRPr="00000000">
              <w:rPr>
                <w:rtl w:val="0"/>
              </w:rPr>
            </w:r>
          </w:p>
        </w:tc>
      </w:tr>
      <w:tr>
        <w:trPr>
          <w:cantSplit w:val="0"/>
          <w:tblHeader w:val="0"/>
        </w:trPr>
        <w:tc>
          <w:tcPr/>
          <w:p w:rsidR="00000000" w:rsidDel="00000000" w:rsidP="00000000" w:rsidRDefault="00000000" w:rsidRPr="00000000" w14:paraId="00000025">
            <w:pPr>
              <w:rPr>
                <w:sz w:val="21"/>
                <w:szCs w:val="21"/>
              </w:rPr>
            </w:pPr>
            <w:r w:rsidDel="00000000" w:rsidR="00000000" w:rsidRPr="00000000">
              <w:rPr>
                <w:sz w:val="21"/>
                <w:szCs w:val="21"/>
                <w:rtl w:val="0"/>
              </w:rPr>
              <w:t xml:space="preserve">Branch Names</w:t>
            </w:r>
          </w:p>
        </w:tc>
        <w:tc>
          <w:tcPr/>
          <w:p w:rsidR="00000000" w:rsidDel="00000000" w:rsidP="00000000" w:rsidRDefault="00000000" w:rsidRPr="00000000" w14:paraId="00000026">
            <w:pPr>
              <w:rPr>
                <w:sz w:val="21"/>
                <w:szCs w:val="21"/>
              </w:rPr>
            </w:pPr>
            <w:r w:rsidDel="00000000" w:rsidR="00000000" w:rsidRPr="00000000">
              <w:rPr>
                <w:sz w:val="21"/>
                <w:szCs w:val="21"/>
                <w:rtl w:val="0"/>
              </w:rPr>
              <w:t xml:space="preserve">4/5</w:t>
            </w:r>
          </w:p>
        </w:tc>
      </w:tr>
      <w:tr>
        <w:trPr>
          <w:cantSplit w:val="0"/>
          <w:tblHeader w:val="0"/>
        </w:trPr>
        <w:tc>
          <w:tcPr/>
          <w:p w:rsidR="00000000" w:rsidDel="00000000" w:rsidP="00000000" w:rsidRDefault="00000000" w:rsidRPr="00000000" w14:paraId="00000027">
            <w:pPr>
              <w:rPr>
                <w:sz w:val="21"/>
                <w:szCs w:val="21"/>
              </w:rPr>
            </w:pPr>
            <w:r w:rsidDel="00000000" w:rsidR="00000000" w:rsidRPr="00000000">
              <w:rPr>
                <w:sz w:val="21"/>
                <w:szCs w:val="21"/>
                <w:rtl w:val="0"/>
              </w:rPr>
              <w:t xml:space="preserve">Commit Messages</w:t>
            </w:r>
          </w:p>
        </w:tc>
        <w:tc>
          <w:tcPr/>
          <w:p w:rsidR="00000000" w:rsidDel="00000000" w:rsidP="00000000" w:rsidRDefault="00000000" w:rsidRPr="00000000" w14:paraId="00000028">
            <w:pPr>
              <w:rPr>
                <w:sz w:val="21"/>
                <w:szCs w:val="21"/>
              </w:rPr>
            </w:pPr>
            <w:r w:rsidDel="00000000" w:rsidR="00000000" w:rsidRPr="00000000">
              <w:rPr>
                <w:sz w:val="21"/>
                <w:szCs w:val="21"/>
                <w:rtl w:val="0"/>
              </w:rPr>
              <w:t xml:space="preserve">4/5</w:t>
            </w:r>
          </w:p>
        </w:tc>
      </w:tr>
      <w:tr>
        <w:trPr>
          <w:cantSplit w:val="0"/>
          <w:tblHeader w:val="0"/>
        </w:trPr>
        <w:tc>
          <w:tcPr/>
          <w:p w:rsidR="00000000" w:rsidDel="00000000" w:rsidP="00000000" w:rsidRDefault="00000000" w:rsidRPr="00000000" w14:paraId="00000029">
            <w:pPr>
              <w:rPr/>
            </w:pPr>
            <w:r w:rsidDel="00000000" w:rsidR="00000000" w:rsidRPr="00000000">
              <w:rPr>
                <w:b w:val="1"/>
                <w:bCs w:val="1"/>
                <w:sz w:val="21"/>
                <w:szCs w:val="21"/>
                <w:rtl w:val="0"/>
              </w:rPr>
              <w:t xml:space="preserve">Total</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1"/>
                <w:bCs w:val="1"/>
                <w:sz w:val="21"/>
                <w:szCs w:val="21"/>
                <w:rtl w:val="0"/>
              </w:rPr>
              <w:t xml:space="preserve">16 / 30</w:t>
            </w:r>
            <w:r w:rsidDel="00000000" w:rsidR="00000000" w:rsidRPr="00000000">
              <w:rPr>
                <w:rtl w:val="0"/>
              </w:rPr>
            </w:r>
          </w:p>
        </w:tc>
      </w:tr>
    </w:tbl>
    <w:p w:rsidR="00000000" w:rsidDel="00000000" w:rsidP="00000000" w:rsidRDefault="00000000" w:rsidRPr="00000000" w14:paraId="0000002B">
      <w:pPr>
        <w:pStyle w:val="Heading1"/>
        <w:rPr/>
      </w:pPr>
      <w:r w:rsidDel="00000000" w:rsidR="00000000" w:rsidRPr="00000000">
        <w:rPr>
          <w:rtl w:val="0"/>
        </w:rPr>
        <w:t xml:space="preserve">Scrum Board Organization — 0/5</w:t>
      </w:r>
    </w:p>
    <w:p w:rsidR="00000000" w:rsidDel="00000000" w:rsidP="00000000" w:rsidRDefault="00000000" w:rsidRPr="00000000" w14:paraId="0000002C">
      <w:pPr>
        <w:rPr/>
      </w:pPr>
      <w:r w:rsidDel="00000000" w:rsidR="00000000" w:rsidRPr="00000000">
        <w:rPr>
          <w:rtl w:val="0"/>
        </w:rPr>
        <w:t xml:space="preserve">The rubric says 0 if any sprint 2 story or task moved to backlog from another list, story 22 moved to backlog on october 1 and again on October 2, its comments call one move accidental. Story 95 and task 73 also show planned backlog history. The explanation does not create an exception in the rubric so this gets a 0.</w:t>
      </w:r>
    </w:p>
    <w:p w:rsidR="00000000" w:rsidDel="00000000" w:rsidP="00000000" w:rsidRDefault="00000000" w:rsidRPr="00000000" w14:paraId="0000002D">
      <w:pPr>
        <w:pStyle w:val="Heading1"/>
        <w:rPr/>
      </w:pPr>
      <w:r w:rsidDel="00000000" w:rsidR="00000000" w:rsidRPr="00000000">
        <w:rPr>
          <w:rtl w:val="0"/>
        </w:rPr>
        <w:t xml:space="preserve">User Stories — 4/5</w:t>
      </w:r>
    </w:p>
    <w:p w:rsidR="00000000" w:rsidDel="00000000" w:rsidP="00000000" w:rsidRDefault="00000000" w:rsidRPr="00000000" w14:paraId="0000002E">
      <w:pPr>
        <w:rPr/>
      </w:pPr>
      <w:r w:rsidDel="00000000" w:rsidR="00000000" w:rsidRPr="00000000">
        <w:rPr>
          <w:rtl w:val="0"/>
        </w:rPr>
        <w:t xml:space="preserve">All 13 sprint 2 stories have task dependencies and acceptance-test descriptions, most include a happy path and relevant alternate paths. 92’s only labeled successful end to end test creates an account with one password and then attempts to log in with a different one, which may count against every story having a happy path (going to need to move out of complete/closed)</w:t>
      </w:r>
    </w:p>
    <w:p w:rsidR="00000000" w:rsidDel="00000000" w:rsidP="00000000" w:rsidRDefault="00000000" w:rsidRPr="00000000" w14:paraId="0000002F">
      <w:pPr>
        <w:pStyle w:val="Heading1"/>
        <w:rPr/>
      </w:pPr>
      <w:r w:rsidDel="00000000" w:rsidR="00000000" w:rsidRPr="00000000">
        <w:rPr>
          <w:rtl w:val="0"/>
        </w:rPr>
        <w:t xml:space="preserve">Tasks — 4/5</w:t>
      </w:r>
    </w:p>
    <w:p w:rsidR="00000000" w:rsidDel="00000000" w:rsidP="00000000" w:rsidRDefault="00000000" w:rsidRPr="00000000" w14:paraId="00000030">
      <w:pPr>
        <w:rPr/>
      </w:pPr>
      <w:r w:rsidDel="00000000" w:rsidR="00000000" w:rsidRPr="00000000">
        <w:rPr>
          <w:rtl w:val="0"/>
        </w:rPr>
        <w:t xml:space="preserve">The print 2 task cards are each linked as a dependency of one story, and most file changing tasks link a task branch. The documentation task 113 has a short prose verification instruction but it isn’t labeled as a test and has no numbered steps, and does not state exact expected output (this might be a research not a task? design?). Several branch links are also shared or do not identify a single task cleanly which knocks it down 1.</w:t>
      </w:r>
    </w:p>
    <w:p w:rsidR="00000000" w:rsidDel="00000000" w:rsidP="00000000" w:rsidRDefault="00000000" w:rsidRPr="00000000" w14:paraId="00000031">
      <w:pPr>
        <w:pStyle w:val="Heading1"/>
        <w:pageBreakBefore w:val="1"/>
        <w:rPr/>
      </w:pPr>
      <w:bookmarkStart w:colFirst="0" w:colLast="0" w:name="_1a33yukrcclc" w:id="0"/>
      <w:bookmarkEnd w:id="0"/>
      <w:r w:rsidDel="00000000" w:rsidR="00000000" w:rsidRPr="00000000">
        <w:rPr>
          <w:rtl w:val="0"/>
        </w:rPr>
        <w:t xml:space="preserve">Git Repo — 0/5</w:t>
      </w:r>
    </w:p>
    <w:p w:rsidR="00000000" w:rsidDel="00000000" w:rsidP="00000000" w:rsidRDefault="00000000" w:rsidRPr="00000000" w14:paraId="00000032">
      <w:pPr>
        <w:rPr/>
      </w:pPr>
      <w:r w:rsidDel="00000000" w:rsidR="00000000" w:rsidRPr="00000000">
        <w:rPr>
          <w:rtl w:val="0"/>
        </w:rPr>
        <w:t xml:space="preserve">Task 71 is still planned on the board although PR 11 merged its branch into dev on September 27. A timing/state mismatch is enough for 0 under the rubric.</w:t>
      </w:r>
    </w:p>
    <w:p w:rsidR="00000000" w:rsidDel="00000000" w:rsidP="00000000" w:rsidRDefault="00000000" w:rsidRPr="00000000" w14:paraId="00000033">
      <w:pPr>
        <w:pStyle w:val="Heading1"/>
        <w:rPr/>
      </w:pPr>
      <w:r w:rsidDel="00000000" w:rsidR="00000000" w:rsidRPr="00000000">
        <w:rPr>
          <w:rtl w:val="0"/>
        </w:rPr>
        <w:t xml:space="preserve">Branch Names — 4/5</w:t>
      </w:r>
    </w:p>
    <w:p w:rsidR="00000000" w:rsidDel="00000000" w:rsidP="00000000" w:rsidRDefault="00000000" w:rsidRPr="00000000" w14:paraId="00000034">
      <w:pPr>
        <w:rPr/>
      </w:pPr>
      <w:r w:rsidDel="00000000" w:rsidR="00000000" w:rsidRPr="00000000">
        <w:rPr>
          <w:rtl w:val="0"/>
        </w:rPr>
        <w:t xml:space="preserve">Most branches identify the card number an d describe the work. Some do not meet the naming rule: account_implementation and fix-stacked-accents omit the task number, and 120-security-hardening reuses 120 for work that does not match the cards integration task. The pattern is mostly followed, but not consistent enough for a 5.</w:t>
      </w:r>
    </w:p>
    <w:p w:rsidR="00000000" w:rsidDel="00000000" w:rsidP="00000000" w:rsidRDefault="00000000" w:rsidRPr="00000000" w14:paraId="00000035">
      <w:pPr>
        <w:pStyle w:val="Heading1"/>
        <w:rPr/>
      </w:pPr>
      <w:r w:rsidDel="00000000" w:rsidR="00000000" w:rsidRPr="00000000">
        <w:rPr>
          <w:rtl w:val="0"/>
        </w:rPr>
        <w:t xml:space="preserve">Commit Messages — 4/5</w:t>
      </w:r>
    </w:p>
    <w:p w:rsidR="00000000" w:rsidDel="00000000" w:rsidP="00000000" w:rsidRDefault="00000000" w:rsidRPr="00000000" w14:paraId="00000036">
      <w:pPr>
        <w:rPr/>
      </w:pPr>
      <w:r w:rsidDel="00000000" w:rsidR="00000000" w:rsidRPr="00000000">
        <w:rPr>
          <w:rtl w:val="0"/>
        </w:rPr>
        <w:t xml:space="preserve">Most commit subjects explain the change, adn the reviewed sprint 2 history does not show generic messages, some subjects say what changed without explaining why it matters, ex Add create note editor #105., the rubrics 5 point row requires most first lines to state why the change matters, so this earns a 4</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Testing</w:t>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39">
            <w:pPr>
              <w:rPr/>
            </w:pPr>
            <w:r w:rsidDel="00000000" w:rsidR="00000000" w:rsidRPr="00000000">
              <w:rPr>
                <w:b w:val="1"/>
                <w:bCs w:val="1"/>
                <w:sz w:val="21"/>
                <w:szCs w:val="21"/>
                <w:rtl w:val="0"/>
              </w:rPr>
              <w:t xml:space="preserve">Rubric row</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b w:val="1"/>
                <w:bCs w:val="1"/>
                <w:sz w:val="21"/>
                <w:szCs w:val="21"/>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sz w:val="21"/>
                <w:szCs w:val="21"/>
                <w:rtl w:val="0"/>
              </w:rPr>
              <w:t xml:space="preserve">Acceptance Test Definition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21"/>
                <w:szCs w:val="21"/>
                <w:rtl w:val="0"/>
              </w:rPr>
              <w:t xml:space="preserve">0 / 5</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sz w:val="21"/>
                <w:szCs w:val="21"/>
                <w:rtl w:val="0"/>
              </w:rPr>
              <w:t xml:space="preserve">Acceptance Test Efficiency</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21"/>
                <w:szCs w:val="21"/>
                <w:rtl w:val="0"/>
              </w:rPr>
              <w:t xml:space="preserve">2 / 5</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21"/>
                <w:szCs w:val="21"/>
                <w:rtl w:val="0"/>
              </w:rPr>
              <w:t xml:space="preserve">Unit and Task Test Definition</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21"/>
                <w:szCs w:val="21"/>
                <w:rtl w:val="0"/>
              </w:rPr>
              <w:t xml:space="preserve">4 / 5</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21"/>
                <w:szCs w:val="21"/>
                <w:rtl w:val="0"/>
              </w:rPr>
              <w:t xml:space="preserve">Unit and Task Test Efficacy</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1"/>
                <w:szCs w:val="21"/>
                <w:rtl w:val="0"/>
              </w:rPr>
              <w:t xml:space="preserve">4 / 5</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b w:val="1"/>
                <w:bCs w:val="1"/>
                <w:sz w:val="21"/>
                <w:szCs w:val="21"/>
                <w:rtl w:val="0"/>
              </w:rPr>
              <w:t xml:space="preserve">Total</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1"/>
                <w:bCs w:val="1"/>
                <w:sz w:val="21"/>
                <w:szCs w:val="21"/>
                <w:rtl w:val="0"/>
              </w:rPr>
              <w:t xml:space="preserve">10 / 20</w:t>
            </w:r>
            <w:r w:rsidDel="00000000" w:rsidR="00000000" w:rsidRPr="00000000">
              <w:rPr>
                <w:rtl w:val="0"/>
              </w:rPr>
            </w:r>
          </w:p>
        </w:tc>
      </w:tr>
    </w:tbl>
    <w:p w:rsidR="00000000" w:rsidDel="00000000" w:rsidP="00000000" w:rsidRDefault="00000000" w:rsidRPr="00000000" w14:paraId="00000045">
      <w:pPr>
        <w:pStyle w:val="Heading1"/>
        <w:rPr/>
      </w:pPr>
      <w:r w:rsidDel="00000000" w:rsidR="00000000" w:rsidRPr="00000000">
        <w:rPr>
          <w:rtl w:val="0"/>
        </w:rPr>
        <w:t xml:space="preserve">Acceptance Test Definition — 0/5</w:t>
      </w:r>
    </w:p>
    <w:p w:rsidR="00000000" w:rsidDel="00000000" w:rsidP="00000000" w:rsidRDefault="00000000" w:rsidRPr="00000000" w14:paraId="00000046">
      <w:pPr>
        <w:rPr/>
      </w:pPr>
      <w:r w:rsidDel="00000000" w:rsidR="00000000" w:rsidRPr="00000000">
        <w:rPr>
          <w:rtl w:val="0"/>
        </w:rPr>
        <w:t xml:space="preserve">Story 92 has a test that cannot complete as written because of the wrong password. If one acceptance test in complete fails it is a 0. </w:t>
      </w:r>
    </w:p>
    <w:p w:rsidR="00000000" w:rsidDel="00000000" w:rsidP="00000000" w:rsidRDefault="00000000" w:rsidRPr="00000000" w14:paraId="00000047">
      <w:pPr>
        <w:pStyle w:val="Heading1"/>
        <w:spacing w:after="80" w:before="0" w:lineRule="auto"/>
        <w:rPr/>
      </w:pPr>
      <w:bookmarkStart w:colFirst="0" w:colLast="0" w:name="_sh388t27ir0e" w:id="1"/>
      <w:bookmarkEnd w:id="1"/>
      <w:r w:rsidDel="00000000" w:rsidR="00000000" w:rsidRPr="00000000">
        <w:rPr>
          <w:rtl w:val="0"/>
        </w:rPr>
        <w:t xml:space="preserve">Acceptance Test Efficacy — 5/5</w:t>
      </w:r>
    </w:p>
    <w:p w:rsidR="00000000" w:rsidDel="00000000" w:rsidP="00000000" w:rsidRDefault="00000000" w:rsidRPr="00000000" w14:paraId="00000048">
      <w:pPr>
        <w:rPr/>
      </w:pPr>
      <w:r w:rsidDel="00000000" w:rsidR="00000000" w:rsidRPr="00000000">
        <w:rPr>
          <w:rtl w:val="0"/>
        </w:rPr>
        <w:t xml:space="preserve">Many tests have useful, concrete inputs and outcomes, and most are ordinary user flows. Several exceptions keep the set below a 5, whose wording requires every test to specify all inputs and exact results, and most tests to be runnable by an untrained user. Story 11 tests 2-3 require direct API calls, 12 test 6 requires calling an unspecified invitation endpoint, and test 7 says to simulate a server or network failure without explain how, 22 tests 6-7 depend on prototype preview options, 114 test 7 says open the PROD address without giving the URL, 92s password mismatch. </w:t>
      </w:r>
    </w:p>
    <w:p w:rsidR="00000000" w:rsidDel="00000000" w:rsidP="00000000" w:rsidRDefault="00000000" w:rsidRPr="00000000" w14:paraId="00000049">
      <w:pPr>
        <w:pStyle w:val="Heading1"/>
        <w:rPr/>
      </w:pPr>
      <w:r w:rsidDel="00000000" w:rsidR="00000000" w:rsidRPr="00000000">
        <w:rPr>
          <w:rtl w:val="0"/>
        </w:rPr>
        <w:t xml:space="preserve">Unit and Task Test Definition — 4/5</w:t>
      </w:r>
    </w:p>
    <w:p w:rsidR="00000000" w:rsidDel="00000000" w:rsidP="00000000" w:rsidRDefault="00000000" w:rsidRPr="00000000" w14:paraId="0000004A">
      <w:pPr>
        <w:rPr/>
      </w:pPr>
      <w:r w:rsidDel="00000000" w:rsidR="00000000" w:rsidRPr="00000000">
        <w:rPr>
          <w:rtl w:val="0"/>
        </w:rPr>
        <w:t xml:space="preserve">Every Sprint 2 story has task dependencies. Most task cards include tests or verification steps, and the completed task checks are supported by the recorded local unit, backend, and browser results. Task #113’s description is only an informal Quick Start check rather than a labeled task test, so it doesn’t get a 5 for every task having a proper test definition.</w:t>
      </w:r>
    </w:p>
    <w:p w:rsidR="00000000" w:rsidDel="00000000" w:rsidP="00000000" w:rsidRDefault="00000000" w:rsidRPr="00000000" w14:paraId="0000004B">
      <w:pPr>
        <w:pStyle w:val="Heading1"/>
        <w:pageBreakBefore w:val="1"/>
        <w:rPr/>
      </w:pPr>
      <w:bookmarkStart w:colFirst="0" w:colLast="0" w:name="_dqbwwyjpfbuq" w:id="2"/>
      <w:bookmarkEnd w:id="2"/>
      <w:r w:rsidDel="00000000" w:rsidR="00000000" w:rsidRPr="00000000">
        <w:rPr>
          <w:rtl w:val="0"/>
        </w:rPr>
        <w:t xml:space="preserve">Unit and Task Test Efficacy — 4/5</w:t>
      </w:r>
    </w:p>
    <w:p w:rsidR="00000000" w:rsidDel="00000000" w:rsidP="00000000" w:rsidRDefault="00000000" w:rsidRPr="00000000" w14:paraId="0000004C">
      <w:pPr>
        <w:spacing w:after="80" w:lineRule="auto"/>
        <w:rPr/>
      </w:pPr>
      <w:r w:rsidDel="00000000" w:rsidR="00000000" w:rsidRPr="00000000">
        <w:rPr>
          <w:rtl w:val="0"/>
        </w:rPr>
        <w:t xml:space="preserve">Most task tests give specific inputs and observable outputs. For example, #73 specifies request bodies, HTTP statuses, response bodies, and collaborator-list results. Task #113 only says the app should serve and the demo workspace should open; it does not state exact output or a precise pass/fail check. That prevents an all-task 5.</w:t>
      </w:r>
    </w:p>
    <w:p w:rsidR="00000000" w:rsidDel="00000000" w:rsidP="00000000" w:rsidRDefault="00000000" w:rsidRPr="00000000" w14:paraId="0000004D">
      <w:pPr>
        <w:rPr/>
      </w:pPr>
      <w:r w:rsidDel="00000000" w:rsidR="00000000" w:rsidRPr="00000000">
        <w:rPr>
          <w:rtl w:val="0"/>
        </w:rPr>
      </w:r>
    </w:p>
    <w:sectPr>
      <w:pgSz w:h="15840" w:w="12240" w:orient="portrait"/>
      <w:pgMar w:bottom="1080" w:top="1123"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2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40" w:before="0" w:line="240" w:lineRule="auto"/>
    </w:pPr>
    <w:rPr>
      <w:rFonts w:ascii="Calibri" w:cs="Calibri" w:eastAsia="Calibri" w:hAnsi="Calibri"/>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