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SectorRadar — Engineering Guide &amp; Next-Step Plan</w:t>
      </w:r>
    </w:p>
    <w:p>
      <w:pPr>
        <w:jc w:val="center"/>
      </w:pPr>
      <w:r>
        <w:rPr>
          <w:i/>
          <w:color w:val="5A6473"/>
        </w:rPr>
        <w:t>Architecture, verification status, operational runbook, and prioritized next steps</w:t>
      </w:r>
    </w:p>
    <w:p>
      <w:pPr>
        <w:jc w:val="center"/>
      </w:pPr>
      <w:r>
        <w:rPr>
          <w:sz w:val="17"/>
        </w:rPr>
        <w:t>Prepared: 2026-10-11 | Project: C:\git\ai\Claude\SectorRadar</w:t>
      </w:r>
    </w:p>
    <w:p>
      <w:pPr>
        <w:pStyle w:val="Heading1"/>
      </w:pPr>
      <w:r>
        <w:t>1. Purpose and operating principles</w:t>
      </w:r>
    </w:p>
    <w:p>
      <w:r>
        <w:rPr>
          <w:b/>
        </w:rPr>
        <w:t xml:space="preserve">Purpose. </w:t>
      </w:r>
      <w:r>
        <w:t>SectorRadar scans U.S. equity themes using low-cost, near-real-time data and deterministic calculations. Its outputs include TOP UP, TOP DOWN, Broadest, Reversal, Recovery, Breadth Momentum, and ETF Divergence.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Theme is the primary analytical object.</w:t>
      </w:r>
    </w:p>
    <w:p>
      <w:pPr>
        <w:pStyle w:val="ListBullet"/>
      </w:pPr>
      <w:r>
        <w:t>AI explains results; it does not calculate signals, rank themes, or generate buy/sell recommendations.</w:t>
      </w:r>
    </w:p>
    <w:p>
      <w:pPr>
        <w:pStyle w:val="ListBullet"/>
      </w:pPr>
      <w:r>
        <w:t>Finnhub + SQLite are the data path; Streamlit reads persisted snapshots and does not run the collector loop.</w:t>
      </w:r>
    </w:p>
    <w:p>
      <w:pPr>
        <w:pStyle w:val="ListBullet"/>
      </w:pPr>
      <w:r>
        <w:t>Keep calculations deterministic, simple, and interpretable. Do not add a composite score without a specific, validated need.</w:t>
      </w:r>
    </w:p>
    <w:p>
      <w:pPr>
        <w:pStyle w:val="ListBullet"/>
      </w:pPr>
      <w:r>
        <w:t>Prefer production observations over speculative backend refactors.</w:t>
      </w:r>
    </w:p>
    <w:p>
      <w:pPr>
        <w:pStyle w:val="Heading1"/>
      </w:pPr>
      <w:r>
        <w:t>2. Architecture and data flow</w:t>
      </w:r>
    </w:p>
    <w:p>
      <w:r>
        <w:rPr>
          <w:b/>
        </w:rPr>
        <w:t xml:space="preserve">Pipeline. </w:t>
      </w:r>
      <w:r>
        <w:t>Finnhub quote requests → Collector → freshness/eligibility handling → SQLite snapshots → deterministic theme/breadth/signal calculations → Streamlit dashboard. AI is a downstream explanation layer only.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Collector: schedule requests, handle provider responses and rate limits, timestamp data, and persist snapshots.</w:t>
      </w:r>
    </w:p>
    <w:p>
      <w:pPr>
        <w:pStyle w:val="ListBullet"/>
      </w:pPr>
      <w:r>
        <w:t>SQLite: durable snapshots used by the dashboard and historical calculations.</w:t>
      </w:r>
    </w:p>
    <w:p>
      <w:pPr>
        <w:pStyle w:val="ListBullet"/>
      </w:pPr>
      <w:r>
        <w:t>Signal/calculation layer: deterministic eligibility, breadth, theme rankings, reversals/recovery, momentum, and ETF divergence.</w:t>
      </w:r>
    </w:p>
    <w:p>
      <w:pPr>
        <w:pStyle w:val="ListBullet"/>
      </w:pPr>
      <w:r>
        <w:t>Streamlit: read stored data and render dashboard state; never host the continuous collector loop.</w:t>
      </w:r>
    </w:p>
    <w:p>
      <w:pPr>
        <w:pStyle w:val="ListBullet"/>
      </w:pPr>
      <w:r>
        <w:t>AI explanation: summarize why a computed signal may matter without changing its value or rank.</w:t>
      </w:r>
    </w:p>
    <w:p>
      <w:pPr>
        <w:pStyle w:val="Heading2"/>
      </w:pPr>
      <w:r>
        <w:t>Operating commands</w:t>
      </w:r>
    </w:p>
    <w:p>
      <w:pPr>
        <w:pStyle w:val="ListBullet"/>
      </w:pPr>
      <w:r>
        <w:t>`python -m data.collector` — continuous collector mode.</w:t>
      </w:r>
    </w:p>
    <w:p>
      <w:pPr>
        <w:pStyle w:val="ListBullet"/>
      </w:pPr>
      <w:r>
        <w:t>`python -m data.collector --once` — one collection cycle for debugging or controlled checks.</w:t>
      </w:r>
    </w:p>
    <w:p>
      <w:pPr>
        <w:pStyle w:val="ListBullet"/>
      </w:pPr>
      <w:r>
        <w:t>`streamlit run app.py` — dashboard in a separate terminal.</w:t>
      </w:r>
    </w:p>
    <w:p>
      <w:pPr>
        <w:pStyle w:val="Heading1"/>
      </w:pPr>
      <w:r>
        <w:t>3. Universe and schedule</w:t>
      </w:r>
    </w:p>
    <w:p>
      <w:r>
        <w:rPr>
          <w:b/>
        </w:rPr>
        <w:t xml:space="preserve">Latest reported universe. </w:t>
      </w:r>
      <w:r>
        <w:t>230 unique symbols: 209 stocks + 21 ETFs, across 33 themes. The reported build process deduplicates symbol assignments when constructing the universe.</w:t>
      </w:r>
    </w:p>
    <w:p>
      <w:r>
        <w:rPr>
          <w:b/>
        </w:rPr>
        <w:t xml:space="preserve">Reported schedule. </w:t>
      </w:r>
      <w:r>
        <w:t>cycle_interval_seconds=300; batch_size=45; six batches for 230 symbols. The effective inter-request delay is derived from the schedule and rate-limit safety settings; a configured delay of zero does not necessarily mean requests have no delay.</w:t>
      </w:r>
    </w:p>
    <w:p>
      <w:r>
        <w:rPr>
          <w:b/>
        </w:rPr>
        <w:t xml:space="preserve">Important caveat. </w:t>
      </w:r>
      <w:r>
        <w:t>Confirm the actual configuration loaded by the production collector matches the configuration used by the tests. Theme membership can overlap: symbol count and theme-assignment count are not the same thing.</w:t>
      </w:r>
    </w:p>
    <w:p>
      <w:pPr>
        <w:pStyle w:val="Heading1"/>
      </w:pPr>
      <w:r>
        <w:t>4. Signal hierarchy and interpretation</w:t>
      </w:r>
    </w:p>
    <w:p>
      <w:r>
        <w:rPr>
          <w:b/>
        </w:rPr>
        <w:t xml:space="preserve">Primary signals. </w:t>
      </w:r>
      <w:r>
        <w:t>TOP UP and TOP DOWN are the main directional theme signals.</w:t>
      </w:r>
    </w:p>
    <w:p>
      <w:r>
        <w:rPr>
          <w:b/>
        </w:rPr>
        <w:t xml:space="preserve">Confirmation. </w:t>
      </w:r>
      <w:r>
        <w:t>Broadest is a breadth/participation confirmation signal, not an independent primary ranking.</w:t>
      </w:r>
    </w:p>
    <w:p>
      <w:r>
        <w:rPr>
          <w:b/>
        </w:rPr>
        <w:t xml:space="preserve">Auxiliary signals. </w:t>
      </w:r>
      <w:r>
        <w:t>Breadth Momentum and ETF Divergence are more independent auxiliary signals, though not necessarily statistically independent.</w:t>
      </w:r>
    </w:p>
    <w:p>
      <w:r>
        <w:rPr>
          <w:b/>
        </w:rPr>
        <w:t xml:space="preserve">Overlapping signals. </w:t>
      </w:r>
      <w:r>
        <w:t>Reversal and Recovery overlap conceptually and should not be treated as wholly independent evidence.</w:t>
      </w:r>
    </w:p>
    <w:p>
      <w:r>
        <w:rPr>
          <w:b/>
        </w:rPr>
        <w:t xml:space="preserve">Correlation caveat. </w:t>
      </w:r>
      <w:r>
        <w:t>Some stocks belong to multiple themes. Signals across those themes can therefore share underlying constituents. A short, single-day independence audit does not establish multi-day regime independence.</w:t>
      </w:r>
    </w:p>
    <w:p>
      <w:pPr>
        <w:pStyle w:val="Heading1"/>
      </w:pPr>
      <w:r>
        <w:t>5. Data timestamps and freshness</w:t>
      </w:r>
    </w:p>
    <w:p>
      <w:r>
        <w:rPr>
          <w:b/>
        </w:rPr>
        <w:t xml:space="preserve">MarketData.asof. </w:t>
      </w:r>
      <w:r>
        <w:t>Use the Finnhub provider timestamp (`provider_timestamp`) to represent the quote's market-data time.</w:t>
      </w:r>
    </w:p>
    <w:p>
      <w:r>
        <w:rPr>
          <w:b/>
        </w:rPr>
        <w:t xml:space="preserve">MarketData.fetched_at / Last Update. </w:t>
      </w:r>
      <w:r>
        <w:t>Represent fetch, persistence, or dashboard/render update time according to the current implementation. Do not label these as the provider quote time.</w:t>
      </w:r>
    </w:p>
    <w:p>
      <w:r>
        <w:rPr>
          <w:b/>
        </w:rPr>
        <w:t xml:space="preserve">RTH-only quote behavior. </w:t>
      </w:r>
      <w:r>
        <w:t>The reported live check found Finnhub `/quote` timestamps freezing at 4:00 PM ET after regular trading hours. HTTP 200 alone does not prove that a quote is current after hours.</w:t>
      </w:r>
    </w:p>
    <w:p>
      <w:r>
        <w:rPr>
          <w:b/>
        </w:rPr>
        <w:t xml:space="preserve">Expected after-hours UI. </w:t>
      </w:r>
      <w:r>
        <w:t>A quote may correctly display `Data as of: 4:00 PM ET` while `Last Update` continues to change as the collector/dashboard refreshes.</w:t>
      </w:r>
    </w:p>
    <w:p>
      <w:r>
        <w:rPr>
          <w:b/>
        </w:rPr>
        <w:t xml:space="preserve">Freshness eligibility. </w:t>
      </w:r>
      <w:r>
        <w:t>Stale symbols such as BYDDY should be excluded from eligible calculations when freshness rules require it, rather than deleted from theme membership solely because one provider's quote is stale.</w:t>
      </w:r>
    </w:p>
    <w:p>
      <w:r>
        <w:rPr>
          <w:b/>
        </w:rPr>
        <w:t xml:space="preserve">Serial-cycle caveat. </w:t>
      </w:r>
      <w:r>
        <w:t>A cycle fetches symbols serially. Per-symbol ages naturally vary across the cycle; do not use a naive mean `data_age` as the sole freshness threshold.</w:t>
      </w:r>
    </w:p>
    <w:p>
      <w:pPr>
        <w:pStyle w:val="Heading1"/>
      </w:pPr>
      <w:r>
        <w:t>6. Rate limiting and scheduling</w:t>
      </w:r>
    </w:p>
    <w:p>
      <w:r>
        <w:rPr>
          <w:b/>
        </w:rPr>
        <w:t xml:space="preserve">Expected behavior. </w:t>
      </w:r>
      <w:r>
        <w:t>The scheduler derives inter-request pacing and batch pauses from the cycle duration, universe size, configured provider rate limit, and safety factor.</w:t>
      </w:r>
    </w:p>
    <w:p>
      <w:r>
        <w:rPr>
          <w:b/>
        </w:rPr>
        <w:t xml:space="preserve">Production backoff. </w:t>
      </w:r>
      <w:r>
        <w:t>The reported implementation prioritizes `Retry-After`, then `X-Ratelimit-Reset`, then a 60-second fallback, with state caching to suppress repeated waits for the same target. These details should be checked against the current source before relying on them operationally.</w:t>
      </w:r>
    </w:p>
    <w:p>
      <w:r>
        <w:rPr>
          <w:b/>
        </w:rPr>
        <w:t xml:space="preserve">What unit tests can establish. </w:t>
      </w:r>
      <w:r>
        <w:t>Tests that mock `time.sleep` can verify that sleep calls are made and delay arguments are in expected ranges. They do not prove real elapsed request pacing.</w:t>
      </w:r>
    </w:p>
    <w:p>
      <w:r>
        <w:rPr>
          <w:b/>
        </w:rPr>
        <w:t xml:space="preserve">429 test caveat. </w:t>
      </w:r>
      <w:r>
        <w:t>The reported regression test mocks `_RateLimitState.wait_after_429` to return zero. It therefore does not independently verify real backoff timing. Also, the fake client's `rate_limit()` was reported as a no-op, while unknown symbols trigger the fake 429 path; inspect the full fake transport before treating this as a faithful 429 recovery test.</w:t>
      </w:r>
    </w:p>
    <w:p>
      <w:r>
        <w:rPr>
          <w:b/>
        </w:rPr>
        <w:t xml:space="preserve">Operational rule. </w:t>
      </w:r>
      <w:r>
        <w:t>Do not claim the real provider will never return 429 based only on unit tests. Validate the behavior in RTH using collector logs and observed response outcomes.</w:t>
      </w:r>
    </w:p>
    <w:p>
      <w:pPr>
        <w:pStyle w:val="Heading1"/>
      </w:pPr>
      <w:r>
        <w:t>7. Test and audit status</w:t>
      </w:r>
    </w:p>
    <w:p>
      <w:r>
        <w:rPr>
          <w:b/>
        </w:rPr>
        <w:t xml:space="preserve">Reported test result. </w:t>
      </w:r>
      <w:r>
        <w:t>`python -m pytest tests/ --tb=long -q` reported 169 passed, 0 failed, in 7.20 seconds. The user-provided audit says this result was reproduced across three runs.</w:t>
      </w:r>
    </w:p>
    <w:p>
      <w:r>
        <w:rPr>
          <w:b/>
        </w:rPr>
        <w:t xml:space="preserve">Fixture fix. </w:t>
      </w:r>
      <w:r>
        <w:t>`FakeFinnhubClient.set_quotes()` replaces its quote dictionary. Correct test setup accumulates all symbol quotes into one dictionary and calls `set_quotes(quotes)` once.</w:t>
      </w:r>
    </w:p>
    <w:p>
      <w:r>
        <w:rPr>
          <w:b/>
        </w:rPr>
        <w:t xml:space="preserve">Universe expectation. </w:t>
      </w:r>
      <w:r>
        <w:t>Tests were updated to exercise 230 symbols rather than the older 214-symbol universe.</w:t>
      </w:r>
    </w:p>
    <w:p>
      <w:r>
        <w:rPr>
          <w:b/>
        </w:rPr>
        <w:t xml:space="preserve">Legacy test name. </w:t>
      </w:r>
      <w:r>
        <w:t>`test_collector_214_regression_no_burst_or_spin` still contains `214` in its name although the test body reportedly uses 230. This is cosmetic but may confuse maintainers.</w:t>
      </w:r>
    </w:p>
    <w:p>
      <w:r>
        <w:rPr>
          <w:b/>
        </w:rPr>
        <w:t xml:space="preserve">Test tracking blocker. </w:t>
      </w:r>
      <w:r>
        <w:t>The reported `git ls-files --error-unmatch tests/test_finnhub_provider.py` returned exit code 1. Therefore that test file is not tracked by Git, and a normal tracked diff does not preserve the reported fix.</w:t>
      </w:r>
    </w:p>
    <w:p>
      <w:r>
        <w:rPr>
          <w:b/>
        </w:rPr>
        <w:t xml:space="preserve">Test status interpretation. </w:t>
      </w:r>
      <w:r>
        <w:t>169 passing tests are a useful local test milestone, not proof of live Finnhub behavior or reproducibility from a clean clone until the test file's repository/ignore status is resolved.</w:t>
      </w:r>
    </w:p>
    <w:p>
      <w:pPr>
        <w:pStyle w:val="Heading1"/>
      </w:pPr>
      <w:r>
        <w:t>8. Git and change-control rules</w:t>
      </w:r>
    </w:p>
    <w:p>
      <w:r>
        <w:t>Do not stage or commit unrelated files from `realtimesignals`, `webullrealcheck`, or `dailyscanner` without confirming repository boundaries and ownership.</w:t>
      </w:r>
    </w:p>
    <w:p>
      <w:r>
        <w:t>Before any write operation, inspect the repository root, `git status --short --untracked-files=all`, `git diff --stat`, and `git diff --cached --stat`.</w:t>
      </w:r>
    </w:p>
    <w:p>
      <w:r>
        <w:t>Check why the core test file is ignored or untracked with `git check-ignore -v tests/test_finnhub_provider.py` and `git ls-files --error-unmatch tests/test_finnhub_provider.py`.</w:t>
      </w:r>
    </w:p>
    <w:p>
      <w:r>
        <w:t>Do not alter `.gitignore` or add files until the exact intended SectorRadar repository and desired tracking policy are clear.</w:t>
      </w:r>
    </w:p>
    <w:p>
      <w:r>
        <w:t>Keep read-only audits separate from remediation tasks.</w:t>
      </w:r>
    </w:p>
    <w:p>
      <w:pPr>
        <w:pStyle w:val="Heading1"/>
      </w:pPr>
      <w:r>
        <w:t>9. Recommended next steps</w:t>
      </w:r>
    </w:p>
    <w:p>
      <w:r>
        <w:rPr>
          <w:b/>
        </w:rPr>
        <w:t xml:space="preserve">Step 1 — Establish repository boundaries (read-only). </w:t>
      </w:r>
      <w:r>
        <w:t>Run `git rev-parse --show-toplevel`, `git status --short --untracked-files=all`, `git diff --stat`, `git diff --cached --stat`, `git check-ignore -v tests/test_finnhub_provider.py`, and `git ls-files --error-unmatch tests/test_finnhub_provider.py`. Determine whether the reported unrelated files are in this repository or separate repositories.</w:t>
      </w:r>
    </w:p>
    <w:p>
      <w:r>
        <w:rPr>
          <w:b/>
        </w:rPr>
        <w:t xml:space="preserve">Step 2 — Make the test baseline reproducible. </w:t>
      </w:r>
      <w:r>
        <w:t>After confirming repository ownership and ignore rules, decide whether `tests/test_finnhub_provider.py` should be tracked. Preserve unrelated changes. Do not claim a reproducible baseline from a clean checkout until the test file and its dependencies are available there.</w:t>
      </w:r>
    </w:p>
    <w:p>
      <w:r>
        <w:rPr>
          <w:b/>
        </w:rPr>
        <w:t xml:space="preserve">Step 3 — Add focused 429 tests only if coverage is missing. </w:t>
      </w:r>
      <w:r>
        <w:t>In a separate, approved code-change task, test Retry-After, X-Ratelimit-Reset, fallback behavior, repeated 429s, bounded retry behavior, recovery, and result counters. Avoid mocking out the behavior the test is intended to verify. Use a fake clock or targeted mocks to make tests deterministic without sending network requests.</w:t>
      </w:r>
    </w:p>
    <w:p>
      <w:r>
        <w:rPr>
          <w:b/>
        </w:rPr>
        <w:t xml:space="preserve">Step 4 — Run the test suite. </w:t>
      </w:r>
      <w:r>
        <w:t>Run `python -m pytest tests/ --tb=long -q` after the baseline is tracked and the working tree is understood. Record the exact command, final summary, commit/revision, and any relevant configuration.</w:t>
      </w:r>
    </w:p>
    <w:p>
      <w:r>
        <w:rPr>
          <w:b/>
        </w:rPr>
        <w:t xml:space="preserve">Step 5 — Run live RTH validation. </w:t>
      </w:r>
      <w:r>
        <w:t>In one terminal run `python -m data.collector`; in another run `streamlit run app.py`. Observe multiple cycles during regular market hours. Do not run multiple collectors against the same database.</w:t>
      </w:r>
    </w:p>
    <w:p>
      <w:r>
        <w:rPr>
          <w:b/>
        </w:rPr>
        <w:t xml:space="preserve">Step 6 — Validate operational evidence. </w:t>
      </w:r>
      <w:r>
        <w:t>Record cycle duration, symbols attempted/succeeded/failed/rate-limited, observed pacing, 429/backoff events, snapshot writes, quote timestamps, stale-symbol eligibility, and dashboard refresh behavior. Redact API keys and other secrets from logs.</w:t>
      </w:r>
    </w:p>
    <w:p>
      <w:r>
        <w:rPr>
          <w:b/>
        </w:rPr>
        <w:t xml:space="preserve">Step 7 — Validate after-hours semantics. </w:t>
      </w:r>
      <w:r>
        <w:t>After RTH, confirm provider quote timestamps may remain at 4:00 PM ET while collector/dashboard update timestamps advance. Verify stale data is not treated as fresh merely because a new fetch occurred.</w:t>
      </w:r>
    </w:p>
    <w:p>
      <w:r>
        <w:rPr>
          <w:b/>
        </w:rPr>
        <w:t xml:space="preserve">Step 8 — Freeze a stable baseline. </w:t>
      </w:r>
      <w:r>
        <w:t>Only after the Git baseline is reproducible and the RTH checks show no unresolved operational issue, decide whether to create a focused commit using the project's normal review process.</w:t>
      </w:r>
    </w:p>
    <w:p>
      <w:r>
        <w:rPr>
          <w:b/>
        </w:rPr>
        <w:t xml:space="preserve">Step 9 — Resume feature work. </w:t>
      </w:r>
      <w:r>
        <w:t>Return to theme rankings and signal UX after data reliability is established. Keep the existing signal hierarchy and avoid composite scoring without evidence.</w:t>
      </w:r>
    </w:p>
    <w:p>
      <w:pPr>
        <w:pStyle w:val="Heading1"/>
      </w:pPr>
      <w:r>
        <w:t>10. RTH validation checklist</w:t>
      </w:r>
    </w:p>
    <w:p>
      <w:r>
        <w:t>Collector runs continuously without overlapping cycles.</w:t>
      </w:r>
    </w:p>
    <w:p>
      <w:r>
        <w:t>The actual loaded universe size and deduplicated symbols match the expected configuration.</w:t>
      </w:r>
    </w:p>
    <w:p>
      <w:r>
        <w:t>Cycle timing and request spacing are plausible under the configured provider rate limit.</w:t>
      </w:r>
    </w:p>
    <w:p>
      <w:r>
        <w:t>429 events, if any, result in bounded and observable backoff rather than rapid retries.</w:t>
      </w:r>
    </w:p>
    <w:p>
      <w:r>
        <w:t>Snapshot data is persisted to SQLite and read by Streamlit without the dashboard running a collector.</w:t>
      </w:r>
    </w:p>
    <w:p>
      <w:r>
        <w:t>Provider `asof` and fetch/dashboard update timestamps remain semantically distinct.</w:t>
      </w:r>
    </w:p>
    <w:p>
      <w:r>
        <w:t>Stale quotes are excluded from eligible calculations according to freshness rules.</w:t>
      </w:r>
    </w:p>
    <w:p>
      <w:r>
        <w:t>`WHAT IS CHANGING?`, rankings, reversals, recovery, Breadth Momentum, and ETF Divergence update as new eligible data arrives.</w:t>
      </w:r>
    </w:p>
    <w:p>
      <w:r>
        <w:t>After-hours provider timestamp freezing is displayed honestly.</w:t>
      </w:r>
    </w:p>
    <w:p>
      <w:r>
        <w:t>Logs contain enough diagnostic information but no API keys or secrets.</w:t>
      </w:r>
    </w:p>
    <w:p>
      <w:pPr>
        <w:pStyle w:val="Heading1"/>
      </w:pPr>
      <w:r>
        <w:t>11. Suggested prompt for the next Claude Code session</w:t>
      </w:r>
    </w:p>
    <w:p>
      <w:r>
        <w:t>SectorRadar — RTH Readiness and Git Baseline</w:t>
        <w:br/>
        <w:br/>
        <w:t>Project: C:\git\ai\Claude\SectorRadar</w:t>
        <w:br/>
        <w:br/>
        <w:t>First perform a READ-ONLY inspection. Do not edit files, stage/commit changes, make network requests, or write to SQLite.</w:t>
        <w:br/>
        <w:br/>
        <w:t>1. Establish the exact Git root and repository boundaries.</w:t>
        <w:br/>
        <w:t>2. Explain why tests/test_finnhub_provider.py is not tracked and whether it is ignored.</w:t>
        <w:br/>
        <w:t>3. Determine whether the reported 169-test suite is reproducible from tracked files.</w:t>
        <w:br/>
        <w:t>4. Inspect existing tests for Retry-After, X-Ratelimit-Reset, fallback backoff, repeated 429s, bounded retries, and recovery. Distinguish real logic coverage from tests that mock the target behavior.</w:t>
        <w:br/>
        <w:t>5. Inspect collector logging and identify the exact metrics needed for RTH validation: universe size, requests attempted, success/failure/429 counts, cycle duration, delays, snapshot persistence, and timestamp semantics.</w:t>
        <w:br/>
        <w:t>6. Provide a prioritized plan with evidence and file/line references. Do not change any files.</w:t>
        <w:br/>
        <w:br/>
        <w:t>After the read-only report is reviewed and approved, prepare a separate implementation plan. Keep the collector and Streamlit separated; do not add composite scoring or alter signal definitions without evidence.</w:t>
      </w:r>
    </w:p>
    <w:p>
      <w:pPr>
        <w:pStyle w:val="Heading1"/>
      </w:pPr>
      <w:r>
        <w:t>12. Final status</w:t>
      </w:r>
    </w:p>
    <w:p>
      <w:r>
        <w:rPr>
          <w:b/>
        </w:rPr>
        <w:t xml:space="preserve">Confirmed from the supplied report. </w:t>
      </w:r>
      <w:r>
        <w:t>The local test command reported 169 passing tests. The fixture setup was corrected to avoid replacing the entire quote dictionary repeatedly. The universe is reported as 230 unique symbols.</w:t>
      </w:r>
    </w:p>
    <w:p>
      <w:r>
        <w:rPr>
          <w:b/>
        </w:rPr>
        <w:t xml:space="preserve">Still to establish. </w:t>
      </w:r>
      <w:r>
        <w:t>Tracked, clean-checkout reproducibility; faithful and independent 429 recovery coverage; and actual RTH collector/dashboard behavior.</w:t>
      </w:r>
    </w:p>
    <w:p>
      <w:r>
        <w:rPr>
          <w:b/>
        </w:rPr>
        <w:t xml:space="preserve">Go/no-go. </w:t>
      </w:r>
      <w:r>
        <w:t>GO for read-only baseline cleanup and planned RTH observation. HOLD on new signal features until the Git baseline and live data behavior are verified.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SectorRadar Engineering Guide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