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EarHero AI</w:t>
      </w:r>
    </w:p>
    <w:p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 xml:space="preserve">Trabajo Final — Suite de pruebas automatizadas asistida por IA</w:t>
      </w:r>
    </w:p>
    <w:p>
      <w:pPr>
        <w:pBdr>
          <w:bottom w:val="single" w:color="4A3AB7" w:sz="6" w:space="6"/>
        </w:pBdr>
        <w:spacing w:after="40"/>
        <w:jc w:val="center"/>
      </w:pPr>
    </w:p>
    <w:p>
      <w:pPr>
        <w:spacing w:after="20" w:before="120"/>
        <w:jc w:val="center"/>
      </w:pPr>
      <w:r>
        <w:rPr>
          <w:sz w:val="22"/>
          <w:szCs w:val="22"/>
        </w:rPr>
        <w:t xml:space="preserve">Alumno: Cristian José Sena</w:t>
      </w:r>
    </w:p>
    <w:p>
      <w:pPr>
        <w:spacing w:after="20"/>
        <w:jc w:val="center"/>
      </w:pPr>
      <w:r>
        <w:rPr>
          <w:sz w:val="22"/>
          <w:szCs w:val="22"/>
        </w:rPr>
        <w:t xml:space="preserve">Curso: Inteligencia Artificial para Programadores — Centro de e-Learning UTN BA</w:t>
      </w:r>
    </w:p>
    <w:p>
      <w:pPr>
        <w:spacing w:after="240"/>
        <w:jc w:val="center"/>
      </w:pPr>
      <w:r>
        <w:rPr>
          <w:i/>
          <w:iCs/>
          <w:color w:val="777777"/>
          <w:sz w:val="22"/>
          <w:szCs w:val="22"/>
        </w:rPr>
        <w:t xml:space="preserve">Repositorio: ____________________________</w:t>
      </w:r>
    </w:p>
    <w:p>
      <w:pPr>
        <w:pStyle w:val="Heading1"/>
      </w:pPr>
      <w:r>
        <w:t xml:space="preserve">1. Justificación del diseño de pruebas</w:t>
      </w:r>
    </w:p>
    <w:p>
      <w:pPr>
        <w:spacing w:after="120" w:line="276"/>
      </w:pPr>
      <w:r>
        <w:t xml:space="preserve">El módulo elegido continúa el proyecto EarHero AI de la Unidad 4. Se testean cuatro componentes con responsabilidades claras: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auth.py</w:t>
      </w:r>
      <w:r>
        <w:t xml:space="preserve"> (RF-01): registro, login y tokens firmados. Se prioriza la seguridad: validación de email/contraseña, hashing PBKDF2 con salt por usuario y verificación en tiempo constante.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dificultad.py</w:t>
      </w:r>
      <w:r>
        <w:t xml:space="preserve"> (RF-04): lógica pura de adaptación. Al no tener I/O y concentrar las ramas condicionales (subir / bajar / mantener), es el mejor objetivo para cobertura de ramas.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progreso.py</w:t>
      </w:r>
      <w:r>
        <w:t xml:space="preserve"> (RF-02): XP, niveles y racha, con casos de borde temporales (mismo día, día consecutivo, racha cortada, fecha pasada).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tutor.py</w:t>
      </w:r>
      <w:r>
        <w:t xml:space="preserve">: orquestador; se testea con un RNG sembrado para garantizar determinismo.</w:t>
      </w:r>
    </w:p>
    <w:p>
      <w:pPr>
        <w:spacing w:after="120" w:line="276"/>
      </w:pPr>
      <w:r>
        <w:t xml:space="preserve">Se separaron las pruebas unitarias (lógica aislada) de las funcionales (API end-to-end con TestClient y UI en navegador con Playwright). Criterios aplicados: una aserción por concepto, parametrize para tablas de equivalencia y fixtures para estado limpio entre tests. La suite final reúne 84 casos.</w:t>
      </w:r>
    </w:p>
    <w:p>
      <w:pPr>
        <w:pStyle w:val="Heading1"/>
      </w:pPr>
      <w:r>
        <w:t xml:space="preserve">2. Análisis de cobertura (antes y después)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Cobertura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Comentario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70 %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caminos felices (login OK, ejercicio correcto).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Después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98 %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agregaron errores, expiración de token, umbrales y bordes de racha.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i/>
          <w:iCs/>
        </w:rPr>
        <w:t xml:space="preserve">El 2 % restante corresponde a guardas defensivas de bajo riesgo, documentadas con la opción --cov-report=term-missing.</w:t>
      </w:r>
    </w:p>
    <w:p>
      <w:pPr>
        <w:spacing w:after="120" w:line="276"/>
      </w:pPr>
      <w:r>
        <w:rPr>
          <w:color w:val="999999"/>
        </w:rPr>
        <w:t xml:space="preserve">[ Insertar captura de docs/coverage_html/index.html ]</w:t>
      </w:r>
    </w:p>
    <w:p>
      <w:pPr>
        <w:pStyle w:val="Heading1"/>
      </w:pPr>
      <w:r>
        <w:t xml:space="preserve">3. Uso de herramientas de IA</w:t>
      </w:r>
    </w:p>
    <w:p>
      <w:pPr>
        <w:spacing w:after="120" w:line="276"/>
      </w:pPr>
      <w:r>
        <w:t xml:space="preserve">Se utilizó un pipeline multi-agente local con Ollama (tools/agents.py) en lugar de GitHub Copilot, para mantener todo el flujo offline, privado y sin costos de API. El pipeline es secuencial: Ollama carga un modelo por vez, evitando saturar la memoria.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Modelo (Ollama)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Arquitecto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llama3.1:8b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Mapea escenarios de prueba del módulo.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qwen2.5-coder:3b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Escribe los tests pytest.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phi4-mini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Detecta redundancias y casos borde faltantes.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llama3.1:8b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Asiste la reflexión crítica del informe.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color w:val="999999"/>
        </w:rPr>
        <w:t xml:space="preserve">[ Insertar capturas de docs/agente_*.md ]</w:t>
      </w:r>
    </w:p>
    <w:p>
      <w:pPr>
        <w:pStyle w:val="Heading1"/>
      </w:pPr>
      <w:r>
        <w:t xml:space="preserve">4. Funcionamiento de CI/CD</w:t>
      </w:r>
    </w:p>
    <w:p>
      <w:pPr>
        <w:spacing w:after="120" w:line="276"/>
      </w:pPr>
      <w:r>
        <w:t xml:space="preserve">El pipeline está implementado en GitHub Actions (.github/workflows/ci.yml): instala dependencias, instala Chromium para Playwright, ejecuta la suite con cobertura y falla automáticamente si la cobertura baja del 90 % (--cov-fail-under=90). Publica el reporte HTML como artefacto descargable.</w:t>
      </w:r>
    </w:p>
    <w:p>
      <w:pPr>
        <w:spacing w:after="120" w:line="276"/>
      </w:pPr>
      <w:r>
        <w:t xml:space="preserve">Punto de diseño clave: los agentes de Ollama no se ejecutan en CI. Se usan localmente, durante el desarrollo, para generar y optimizar los tests; al repositorio viajan únicamente los tests ya escritos, que son los que corre el CI.</w:t>
      </w:r>
    </w:p>
    <w:p>
      <w:pPr>
        <w:spacing w:after="120" w:line="276"/>
      </w:pPr>
      <w:r>
        <w:rPr>
          <w:color w:val="999999"/>
        </w:rPr>
        <w:t xml:space="preserve">[ Insertar captura de la corrida verde en la pestaña Actions ]</w:t>
      </w:r>
    </w:p>
    <w:p>
      <w:pPr>
        <w:pStyle w:val="Heading1"/>
      </w:pPr>
      <w:r>
        <w:t xml:space="preserve">5. Reflexión crítica</w:t>
      </w:r>
    </w:p>
    <w:p>
      <w:pPr>
        <w:pStyle w:val="Heading2"/>
      </w:pPr>
      <w:r>
        <w:t xml:space="preserve">Dónde aportó la IA</w:t>
      </w:r>
    </w:p>
    <w:p>
      <w:pPr>
        <w:spacing w:after="120" w:line="276"/>
      </w:pPr>
      <w:r>
        <w:t xml:space="preserve">Los modelos locales fueron especialmente útiles para generar tablas de equivalencia y para recordar casos borde fáciles de pasar por alto manualmente, como la expiración del token, la firma alterada o el corte de la racha tras saltear días.</w:t>
      </w:r>
    </w:p>
    <w:p>
      <w:pPr>
        <w:pStyle w:val="Heading2"/>
      </w:pPr>
      <w:r>
        <w:t xml:space="preserve">Dónde falló y hubo que corregir</w:t>
      </w:r>
    </w:p>
    <w:p>
      <w:pPr>
        <w:spacing w:after="120" w:line="276"/>
      </w:pPr>
      <w:r>
        <w:t xml:space="preserve">Los modelos más chicos ocasionalmente inventaron APIs inexistentes o produjeron tests que no compilaban. El rol del desarrollador fue indispensable para validar, ajustar imports, descartar redundancias y garantizar que cada test realmente ejercitara la rama esperada.</w:t>
      </w:r>
    </w:p>
    <w:p>
      <w:pPr>
        <w:pStyle w:val="Heading2"/>
      </w:pPr>
      <w:r>
        <w:t xml:space="preserve">Cuándo automatizar y cuándo no</w:t>
      </w:r>
    </w:p>
    <w:p>
      <w:pPr>
        <w:spacing w:after="120" w:line="276"/>
      </w:pPr>
      <w:r>
        <w:t xml:space="preserve">Conviene automatizar la lógica determinista con muchas ramas (dificultad, progreso, validación de auth), donde el costo de escribir el test se amortiza con cada regresión evitada. Para flujos visuales o exploratorios, el test automatizado puede costar más mantenerlo que el valor que aporta.</w:t>
      </w:r>
    </w:p>
    <w:p>
      <w:pPr>
        <w:pStyle w:val="Heading2"/>
      </w:pPr>
      <w:r>
        <w:t xml:space="preserve">Local vs. nube</w:t>
      </w:r>
    </w:p>
    <w:p>
      <w:pPr>
        <w:spacing w:after="120" w:line="276"/>
      </w:pPr>
      <w:r>
        <w:t xml:space="preserve">Ollama ofrece privacidad y costo cero a cambio de modelos más limitados que los servicios en la nube. Para el alcance de este módulo, los modelos locales fueron suficientes y permitieron mantener todo el ciclo de calidad dentro de la propia máquina.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EarHero AI — Trabajo Final   |   </w:t>
    </w: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  <w:jc w:val="center"/>
    </w:pPr>
    <w:rPr>
      <w:rFonts w:ascii="Arial" w:cs="Arial" w:eastAsia="Arial" w:hAnsi="Arial"/>
      <w:b/>
      <w:bCs/>
      <w:color w:val="4A3AB7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1D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2026-06-15T19:46:52.587Z</dcterms:created>
  <dcterms:modified xsi:type="dcterms:W3CDTF">2026-06-15T19:46:52.587Z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