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1F3864"/>
          <w:sz w:val="40"/>
          <w:szCs w:val="40"/>
        </w:rPr>
        <w:t xml:space="preserve">ICSEECR 2026</w:t>
      </w:r>
    </w:p>
    <w:p>
      <w:pPr>
        <w:spacing w:after="40"/>
        <w:jc w:val="center"/>
      </w:pPr>
      <w:r>
        <w:rPr>
          <w:b/>
          <w:bCs/>
          <w:color w:val="1F3864"/>
          <w:sz w:val="24"/>
          <w:szCs w:val="24"/>
        </w:rPr>
        <w:t xml:space="preserve">International Conference on Sustainable Engineering, Environmental Innovation &amp; Climate Resilience</w:t>
      </w:r>
    </w:p>
    <w:p>
      <w:pPr>
        <w:spacing w:after="300"/>
        <w:jc w:val="center"/>
      </w:pPr>
      <w:r>
        <w:rPr>
          <w:i/>
          <w:iCs/>
          <w:color w:val="555555"/>
          <w:sz w:val="20"/>
          <w:szCs w:val="20"/>
        </w:rPr>
        <w:t xml:space="preserve">Gateway (ICT) Polytechnic, Saapade, Ogun State, Nigeria  |  July 20–24, 2026</w:t>
      </w:r>
    </w:p>
    <w:p>
      <w:pPr>
        <w:pBdr>
          <w:bottom w:val="single" w:color="B7860B" w:sz="6"/>
        </w:pBdr>
        <w:spacing w:after="300"/>
        <w:jc w:val="center"/>
      </w:pPr>
      <w:r>
        <w:rPr>
          <w:b/>
          <w:bCs/>
          <w:sz w:val="30"/>
          <w:szCs w:val="30"/>
        </w:rPr>
        <w:t xml:space="preserve">GUIDELINES FOR AUTHORS</w:t>
      </w:r>
    </w:p>
    <w:p>
      <w:pPr>
        <w:pStyle w:val="Heading1"/>
        <w:spacing w:after="150" w:before="300"/>
      </w:pPr>
      <w:r>
        <w:rPr>
          <w:b/>
          <w:bCs/>
          <w:color w:val="1F3864"/>
          <w:sz w:val="26"/>
          <w:szCs w:val="26"/>
        </w:rPr>
        <w:t xml:space="preserve">1. About ICSEECR 2026</w:t>
      </w:r>
    </w:p>
    <w:p>
      <w:pPr>
        <w:spacing w:after="140" w:line="276"/>
      </w:pPr>
      <w:r>
        <w:rPr>
          <w:sz w:val="21"/>
          <w:szCs w:val="21"/>
        </w:rPr>
        <w:t xml:space="preserve">ICSEECR 2026 is the International Conference on Sustainable Engineering, Environmental Innovation &amp; Climate Resilience, hosted by Gateway (ICT) Polytechnic, Saapade, Ogun State, Nigeria. The conference brings together researchers, engineers, policy makers, and industry professionals across two thematic schools — Engineering &amp; Technology and Environmental Studies — to address pressing challenges in sustainability, innovation, and climate resilience.</w:t>
      </w:r>
    </w:p>
    <w:p>
      <w:pPr>
        <w:spacing w:after="140" w:line="276"/>
      </w:pPr>
      <w:r>
        <w:rPr>
          <w:i/>
          <w:iCs/>
          <w:color w:val="AA6600"/>
          <w:sz w:val="21"/>
          <w:szCs w:val="21"/>
        </w:rPr>
        <w:t xml:space="preserve">All accepted and presented papers will be considered for publication in the IEEE Xplore Digital Library, subject to IEEE technical co-sponsorship approval. Authors will be notified of the confirmed publication outlet.</w:t>
      </w:r>
    </w:p>
    <w:p>
      <w:pPr>
        <w:pStyle w:val="Heading1"/>
        <w:spacing w:after="150" w:before="300"/>
      </w:pPr>
      <w:r>
        <w:rPr>
          <w:b/>
          <w:bCs/>
          <w:color w:val="1F3864"/>
          <w:sz w:val="26"/>
          <w:szCs w:val="26"/>
        </w:rPr>
        <w:t xml:space="preserve">2. Key Dates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1F3864" w:val="clear"/>
            <w:tcMar>
              <w:top w:type="dxa" w:w="80"/>
              <w:left w:type="dxa" w:w="100"/>
              <w:bottom w:type="dxa" w:w="80"/>
              <w:right w:type="dxa" w:w="100"/>
            </w:tcMar>
          </w:tcPr>
          <w:p>
            <w:r>
              <w:rPr>
                <w:b/>
                <w:bCs/>
                <w:color w:val="FFFFFF"/>
                <w:sz w:val="20"/>
                <w:szCs w:val="20"/>
              </w:rPr>
              <w:t xml:space="preserve">Milestone</w:t>
            </w:r>
          </w:p>
        </w:tc>
        <w:tc>
          <w:tcPr>
            <w:tcW w:type="pct" w:w="50%"/>
            <w:shd w:fill="1F3864" w:val="clear"/>
            <w:tcMar>
              <w:top w:type="dxa" w:w="80"/>
              <w:left w:type="dxa" w:w="100"/>
              <w:bottom w:type="dxa" w:w="80"/>
              <w:right w:type="dxa" w:w="100"/>
            </w:tcMar>
          </w:tcPr>
          <w:p>
            <w:r>
              <w:rPr>
                <w:b/>
                <w:bCs/>
                <w:color w:val="FFFFFF"/>
                <w:sz w:val="20"/>
                <w:szCs w:val="20"/>
              </w:rPr>
              <w:t xml:space="preserve">Date</w:t>
            </w:r>
          </w:p>
        </w:tc>
      </w:tr>
      <w:tr>
        <w:tc>
          <w:tcPr>
            <w:tcW w:type="pct" w:w="50%"/>
            <w:tcMar>
              <w:top w:type="dxa" w:w="80"/>
              <w:left w:type="dxa" w:w="100"/>
              <w:bottom w:type="dxa" w:w="80"/>
              <w:right w:type="dxa" w:w="100"/>
            </w:tcMar>
          </w:tcPr>
          <w:p>
            <w:r>
              <w:rPr>
                <w:b w:val="false"/>
                <w:bCs w:val="false"/>
                <w:color w:val="000000"/>
                <w:sz w:val="20"/>
                <w:szCs w:val="20"/>
              </w:rPr>
              <w:t xml:space="preserve">Abstract Submission Deadline</w:t>
            </w:r>
          </w:p>
        </w:tc>
        <w:tc>
          <w:tcPr>
            <w:tcW w:type="pct" w:w="50%"/>
            <w:tcMar>
              <w:top w:type="dxa" w:w="80"/>
              <w:left w:type="dxa" w:w="100"/>
              <w:bottom w:type="dxa" w:w="80"/>
              <w:right w:type="dxa" w:w="100"/>
            </w:tcMar>
          </w:tcPr>
          <w:p>
            <w:r>
              <w:rPr>
                <w:b w:val="false"/>
                <w:bCs w:val="false"/>
                <w:color w:val="000000"/>
                <w:sz w:val="20"/>
                <w:szCs w:val="20"/>
              </w:rPr>
              <w:t xml:space="preserve">June 08, 2026</w:t>
            </w:r>
          </w:p>
        </w:tc>
      </w:tr>
      <w:tr>
        <w:tc>
          <w:tcPr>
            <w:tcW w:type="pct" w:w="50%"/>
            <w:tcMar>
              <w:top w:type="dxa" w:w="80"/>
              <w:left w:type="dxa" w:w="100"/>
              <w:bottom w:type="dxa" w:w="80"/>
              <w:right w:type="dxa" w:w="100"/>
            </w:tcMar>
          </w:tcPr>
          <w:p>
            <w:r>
              <w:rPr>
                <w:b w:val="false"/>
                <w:bCs w:val="false"/>
                <w:color w:val="000000"/>
                <w:sz w:val="20"/>
                <w:szCs w:val="20"/>
              </w:rPr>
              <w:t xml:space="preserve">Acceptance Notification</w:t>
            </w:r>
          </w:p>
        </w:tc>
        <w:tc>
          <w:tcPr>
            <w:tcW w:type="pct" w:w="50%"/>
            <w:tcMar>
              <w:top w:type="dxa" w:w="80"/>
              <w:left w:type="dxa" w:w="100"/>
              <w:bottom w:type="dxa" w:w="80"/>
              <w:right w:type="dxa" w:w="100"/>
            </w:tcMar>
          </w:tcPr>
          <w:p>
            <w:r>
              <w:rPr>
                <w:b w:val="false"/>
                <w:bCs w:val="false"/>
                <w:color w:val="000000"/>
                <w:sz w:val="20"/>
                <w:szCs w:val="20"/>
              </w:rPr>
              <w:t xml:space="preserve">June 28, 2026</w:t>
            </w:r>
          </w:p>
        </w:tc>
      </w:tr>
      <w:tr>
        <w:tc>
          <w:tcPr>
            <w:tcW w:type="pct" w:w="50%"/>
            <w:tcMar>
              <w:top w:type="dxa" w:w="80"/>
              <w:left w:type="dxa" w:w="100"/>
              <w:bottom w:type="dxa" w:w="80"/>
              <w:right w:type="dxa" w:w="100"/>
            </w:tcMar>
          </w:tcPr>
          <w:p>
            <w:r>
              <w:rPr>
                <w:b w:val="false"/>
                <w:bCs w:val="false"/>
                <w:color w:val="000000"/>
                <w:sz w:val="20"/>
                <w:szCs w:val="20"/>
              </w:rPr>
              <w:t xml:space="preserve">Conference Dates</w:t>
            </w:r>
          </w:p>
        </w:tc>
        <w:tc>
          <w:tcPr>
            <w:tcW w:type="pct" w:w="50%"/>
            <w:tcMar>
              <w:top w:type="dxa" w:w="80"/>
              <w:left w:type="dxa" w:w="100"/>
              <w:bottom w:type="dxa" w:w="80"/>
              <w:right w:type="dxa" w:w="100"/>
            </w:tcMar>
          </w:tcPr>
          <w:p>
            <w:r>
              <w:rPr>
                <w:b w:val="false"/>
                <w:bCs w:val="false"/>
                <w:color w:val="000000"/>
                <w:sz w:val="20"/>
                <w:szCs w:val="20"/>
              </w:rPr>
              <w:t xml:space="preserve">July 20 – 24, 2026</w:t>
            </w:r>
          </w:p>
        </w:tc>
      </w:tr>
      <w:tr>
        <w:tc>
          <w:tcPr>
            <w:tcW w:type="pct" w:w="50%"/>
            <w:tcMar>
              <w:top w:type="dxa" w:w="80"/>
              <w:left w:type="dxa" w:w="100"/>
              <w:bottom w:type="dxa" w:w="80"/>
              <w:right w:type="dxa" w:w="100"/>
            </w:tcMar>
          </w:tcPr>
          <w:p>
            <w:r>
              <w:rPr>
                <w:b w:val="false"/>
                <w:bCs w:val="false"/>
                <w:color w:val="000000"/>
                <w:sz w:val="20"/>
                <w:szCs w:val="20"/>
              </w:rPr>
              <w:t xml:space="preserve">Full Paper Submission Window Opens</w:t>
            </w:r>
          </w:p>
        </w:tc>
        <w:tc>
          <w:tcPr>
            <w:tcW w:type="pct" w:w="50%"/>
            <w:tcMar>
              <w:top w:type="dxa" w:w="80"/>
              <w:left w:type="dxa" w:w="100"/>
              <w:bottom w:type="dxa" w:w="80"/>
              <w:right w:type="dxa" w:w="100"/>
            </w:tcMar>
          </w:tcPr>
          <w:p>
            <w:r>
              <w:rPr>
                <w:b w:val="false"/>
                <w:bCs w:val="false"/>
                <w:color w:val="000000"/>
                <w:sz w:val="20"/>
                <w:szCs w:val="20"/>
              </w:rPr>
              <w:t xml:space="preserve">July 14, 2026</w:t>
            </w:r>
          </w:p>
        </w:tc>
      </w:tr>
      <w:tr>
        <w:tc>
          <w:tcPr>
            <w:tcW w:type="pct" w:w="50%"/>
            <w:tcMar>
              <w:top w:type="dxa" w:w="80"/>
              <w:left w:type="dxa" w:w="100"/>
              <w:bottom w:type="dxa" w:w="80"/>
              <w:right w:type="dxa" w:w="100"/>
            </w:tcMar>
          </w:tcPr>
          <w:p>
            <w:r>
              <w:rPr>
                <w:b w:val="false"/>
                <w:bCs w:val="false"/>
                <w:color w:val="000000"/>
                <w:sz w:val="20"/>
                <w:szCs w:val="20"/>
              </w:rPr>
              <w:t xml:space="preserve">Full Paper Submission Deadline</w:t>
            </w:r>
          </w:p>
        </w:tc>
        <w:tc>
          <w:tcPr>
            <w:tcW w:type="pct" w:w="50%"/>
            <w:tcMar>
              <w:top w:type="dxa" w:w="80"/>
              <w:left w:type="dxa" w:w="100"/>
              <w:bottom w:type="dxa" w:w="80"/>
              <w:right w:type="dxa" w:w="100"/>
            </w:tcMar>
          </w:tcPr>
          <w:p>
            <w:r>
              <w:rPr>
                <w:b w:val="false"/>
                <w:bCs w:val="false"/>
                <w:color w:val="000000"/>
                <w:sz w:val="20"/>
                <w:szCs w:val="20"/>
              </w:rPr>
              <w:t xml:space="preserve">August 07, 2026 (two weeks after the conference)</w:t>
            </w:r>
          </w:p>
        </w:tc>
      </w:tr>
      <w:tr>
        <w:tc>
          <w:tcPr>
            <w:tcW w:type="pct" w:w="50%"/>
            <w:tcMar>
              <w:top w:type="dxa" w:w="80"/>
              <w:left w:type="dxa" w:w="100"/>
              <w:bottom w:type="dxa" w:w="80"/>
              <w:right w:type="dxa" w:w="100"/>
            </w:tcMar>
          </w:tcPr>
          <w:p>
            <w:r>
              <w:rPr>
                <w:b w:val="false"/>
                <w:bCs w:val="false"/>
                <w:color w:val="000000"/>
                <w:sz w:val="20"/>
                <w:szCs w:val="20"/>
              </w:rPr>
              <w:t xml:space="preserve">Corrected Copy for Book of Proceedings</w:t>
            </w:r>
          </w:p>
        </w:tc>
        <w:tc>
          <w:tcPr>
            <w:tcW w:type="pct" w:w="50%"/>
            <w:tcMar>
              <w:top w:type="dxa" w:w="80"/>
              <w:left w:type="dxa" w:w="100"/>
              <w:bottom w:type="dxa" w:w="80"/>
              <w:right w:type="dxa" w:w="100"/>
            </w:tcMar>
          </w:tcPr>
          <w:p>
            <w:r>
              <w:rPr>
                <w:b w:val="false"/>
                <w:bCs w:val="false"/>
                <w:color w:val="000000"/>
                <w:sz w:val="20"/>
                <w:szCs w:val="20"/>
              </w:rPr>
              <w:t xml:space="preserve">Shortly after full paper deadline — exact date to be confirmed</w:t>
            </w:r>
          </w:p>
        </w:tc>
      </w:tr>
    </w:tbl>
    <w:p>
      <w:pPr>
        <w:spacing w:after="150"/>
      </w:pPr>
    </w:p>
    <w:p>
      <w:pPr>
        <w:spacing w:after="140" w:line="276"/>
      </w:pPr>
      <w:r>
        <w:rPr>
          <w:i/>
          <w:iCs/>
          <w:color w:val="777777"/>
          <w:sz w:val="19"/>
          <w:szCs w:val="19"/>
        </w:rPr>
        <w:t xml:space="preserve">Note: the full paper submission window opens before the conference (July 14) and stays open through the conference dates, closing two weeks after the conference ends. A short corrected-copy stage follows, in which authors incorporate final reviewer/editorial corrections before the paper is compiled into the Book of Proceedings.</w:t>
      </w:r>
    </w:p>
    <w:p>
      <w:pPr>
        <w:pStyle w:val="Heading1"/>
        <w:spacing w:after="150" w:before="300"/>
      </w:pPr>
      <w:r>
        <w:rPr>
          <w:b/>
          <w:bCs/>
          <w:color w:val="1F3864"/>
          <w:sz w:val="26"/>
          <w:szCs w:val="26"/>
        </w:rPr>
        <w:t xml:space="preserve">3. Venue and Participation</w:t>
      </w:r>
    </w:p>
    <w:p>
      <w:pPr>
        <w:pStyle w:val="ListParagraph"/>
        <w:numPr>
          <w:ilvl w:val="0"/>
          <w:numId w:val="2"/>
        </w:numPr>
        <w:spacing w:after="80" w:line="276"/>
      </w:pPr>
      <w:r>
        <w:rPr>
          <w:sz w:val="21"/>
          <w:szCs w:val="21"/>
        </w:rPr>
        <w:t xml:space="preserve">Venue: Prince Dapo Abiodun Leadership Auditorium, Gateway (ICT) Polytechnic Saapade, Ogun State, Nigeria.</w:t>
      </w:r>
    </w:p>
    <w:p>
      <w:pPr>
        <w:pStyle w:val="ListParagraph"/>
        <w:numPr>
          <w:ilvl w:val="0"/>
          <w:numId w:val="2"/>
        </w:numPr>
        <w:spacing w:after="80" w:line="276"/>
      </w:pPr>
      <w:r>
        <w:rPr>
          <w:sz w:val="21"/>
          <w:szCs w:val="21"/>
        </w:rPr>
        <w:t xml:space="preserve">International participants: virtual attendance is free; physical attendance is $100.</w:t>
      </w:r>
    </w:p>
    <w:p>
      <w:pPr>
        <w:pStyle w:val="ListParagraph"/>
        <w:numPr>
          <w:ilvl w:val="0"/>
          <w:numId w:val="2"/>
        </w:numPr>
        <w:spacing w:after="80" w:line="276"/>
      </w:pPr>
      <w:r>
        <w:rPr>
          <w:sz w:val="21"/>
          <w:szCs w:val="21"/>
        </w:rPr>
        <w:t xml:space="preserve">Nigerian participants: Regular/Author ₦25,000; Students ₦10,000; Listeners/Observers ₦2,500 (on-site, physical or virtual).</w:t>
      </w:r>
    </w:p>
    <w:p>
      <w:pPr>
        <w:pStyle w:val="ListParagraph"/>
        <w:numPr>
          <w:ilvl w:val="0"/>
          <w:numId w:val="2"/>
        </w:numPr>
        <w:spacing w:after="80" w:line="276"/>
      </w:pPr>
      <w:r>
        <w:rPr>
          <w:sz w:val="21"/>
          <w:szCs w:val="21"/>
        </w:rPr>
        <w:t xml:space="preserve">Payment account: Zenith Bank, Account No. 1311924003, Account Name: Gateway Poly Sch of Engineering &amp; Journal Pub.</w:t>
      </w:r>
    </w:p>
    <w:p>
      <w:pPr>
        <w:pStyle w:val="Heading1"/>
        <w:spacing w:after="150" w:before="300"/>
      </w:pPr>
      <w:r>
        <w:rPr>
          <w:b/>
          <w:bCs/>
          <w:color w:val="1F3864"/>
          <w:sz w:val="26"/>
          <w:szCs w:val="26"/>
        </w:rPr>
        <w:t xml:space="preserve">4. Thematic Schools and Technical Tracks</w:t>
      </w:r>
    </w:p>
    <w:p>
      <w:pPr>
        <w:pStyle w:val="Heading2"/>
        <w:spacing w:after="100" w:before="200"/>
      </w:pPr>
      <w:r>
        <w:rPr>
          <w:b/>
          <w:bCs/>
          <w:color w:val="2E7D32"/>
          <w:sz w:val="23"/>
          <w:szCs w:val="23"/>
        </w:rPr>
        <w:t xml:space="preserve">School of Engineering &amp; Technology</w:t>
      </w:r>
    </w:p>
    <w:p>
      <w:pPr>
        <w:spacing w:after="140" w:line="276"/>
      </w:pPr>
      <w:r>
        <w:rPr>
          <w:sz w:val="21"/>
          <w:szCs w:val="21"/>
        </w:rPr>
        <w:t xml:space="preserve">Smart Engineering Systems and Renewable Energy Technologies for a Sustainable Future — covering Smart Grids &amp; Power Systems, Solar PV Systems &amp; Diagnostics, AI in Engineering Systems, Automation &amp; Control, IoT &amp; Embedded Systems, Predictive Maintenance &amp; Digital Twin, and Structural Health Monitoring.</w:t>
      </w:r>
    </w:p>
    <w:p>
      <w:pPr>
        <w:pStyle w:val="Heading2"/>
        <w:spacing w:after="100" w:before="200"/>
      </w:pPr>
      <w:r>
        <w:rPr>
          <w:b/>
          <w:bCs/>
          <w:color w:val="2E7D32"/>
          <w:sz w:val="23"/>
          <w:szCs w:val="23"/>
        </w:rPr>
        <w:t xml:space="preserve">School of Environmental Studies</w:t>
      </w:r>
    </w:p>
    <w:p>
      <w:pPr>
        <w:spacing w:after="140" w:line="276"/>
      </w:pPr>
      <w:r>
        <w:rPr>
          <w:sz w:val="21"/>
          <w:szCs w:val="21"/>
        </w:rPr>
        <w:t xml:space="preserve">Environmental Sustainability, Climate Resilience, and Resource Management for Global Transformation — covering Climate Change Adaptation &amp; Mitigation, Environmental Impact Assessment, Waste Management &amp; Circular Economy, Water Resources &amp; Pollution Control, Sustainable Urban Planning, Environmental Monitoring (AI &amp; IoT), and Ecosystem Restoration.</w:t>
      </w:r>
    </w:p>
    <w:p>
      <w:pPr>
        <w:pStyle w:val="Heading2"/>
        <w:spacing w:after="100" w:before="200"/>
      </w:pPr>
      <w:r>
        <w:rPr>
          <w:b/>
          <w:bCs/>
          <w:color w:val="1F3864"/>
          <w:sz w:val="23"/>
          <w:szCs w:val="23"/>
        </w:rPr>
        <w:t xml:space="preserve">The 8 Official Technical Tracks</w:t>
      </w:r>
    </w:p>
    <w:p>
      <w:pPr>
        <w:pStyle w:val="ListParagraph"/>
        <w:numPr>
          <w:ilvl w:val="0"/>
          <w:numId w:val="2"/>
        </w:numPr>
        <w:spacing w:after="80" w:line="276"/>
      </w:pPr>
      <w:r>
        <w:rPr>
          <w:sz w:val="21"/>
          <w:szCs w:val="21"/>
        </w:rPr>
        <w:t xml:space="preserve">T-01: Renewable Energy Systems &amp; Smart Grids</w:t>
      </w:r>
    </w:p>
    <w:p>
      <w:pPr>
        <w:pStyle w:val="ListParagraph"/>
        <w:numPr>
          <w:ilvl w:val="0"/>
          <w:numId w:val="2"/>
        </w:numPr>
        <w:spacing w:after="80" w:line="276"/>
      </w:pPr>
      <w:r>
        <w:rPr>
          <w:sz w:val="21"/>
          <w:szCs w:val="21"/>
        </w:rPr>
        <w:t xml:space="preserve">T-02: AI and IoT in Environmental Monitoring</w:t>
      </w:r>
    </w:p>
    <w:p>
      <w:pPr>
        <w:pStyle w:val="ListParagraph"/>
        <w:numPr>
          <w:ilvl w:val="0"/>
          <w:numId w:val="2"/>
        </w:numPr>
        <w:spacing w:after="80" w:line="276"/>
      </w:pPr>
      <w:r>
        <w:rPr>
          <w:sz w:val="21"/>
          <w:szCs w:val="21"/>
        </w:rPr>
        <w:t xml:space="preserve">T-03: Sustainable Infrastructure &amp; Green Building</w:t>
      </w:r>
    </w:p>
    <w:p>
      <w:pPr>
        <w:pStyle w:val="ListParagraph"/>
        <w:numPr>
          <w:ilvl w:val="0"/>
          <w:numId w:val="2"/>
        </w:numPr>
        <w:spacing w:after="80" w:line="276"/>
      </w:pPr>
      <w:r>
        <w:rPr>
          <w:sz w:val="21"/>
          <w:szCs w:val="21"/>
        </w:rPr>
        <w:t xml:space="preserve">T-04: Climate Change Adaptation &amp; Mitigation</w:t>
      </w:r>
    </w:p>
    <w:p>
      <w:pPr>
        <w:pStyle w:val="ListParagraph"/>
        <w:numPr>
          <w:ilvl w:val="0"/>
          <w:numId w:val="2"/>
        </w:numPr>
        <w:spacing w:after="80" w:line="276"/>
      </w:pPr>
      <w:r>
        <w:rPr>
          <w:sz w:val="21"/>
          <w:szCs w:val="21"/>
        </w:rPr>
        <w:t xml:space="preserve">T-05: Waste-to-Energy and Circular Economy</w:t>
      </w:r>
    </w:p>
    <w:p>
      <w:pPr>
        <w:pStyle w:val="ListParagraph"/>
        <w:numPr>
          <w:ilvl w:val="0"/>
          <w:numId w:val="2"/>
        </w:numPr>
        <w:spacing w:after="80" w:line="276"/>
      </w:pPr>
      <w:r>
        <w:rPr>
          <w:sz w:val="21"/>
          <w:szCs w:val="21"/>
        </w:rPr>
        <w:t xml:space="preserve">T-06: Environmental Policy &amp; Sustainable Development</w:t>
      </w:r>
    </w:p>
    <w:p>
      <w:pPr>
        <w:pStyle w:val="ListParagraph"/>
        <w:numPr>
          <w:ilvl w:val="0"/>
          <w:numId w:val="2"/>
        </w:numPr>
        <w:spacing w:after="80" w:line="276"/>
      </w:pPr>
      <w:r>
        <w:rPr>
          <w:sz w:val="21"/>
          <w:szCs w:val="21"/>
        </w:rPr>
        <w:t xml:space="preserve">T-07: Smart Cities &amp; IoT Applications</w:t>
      </w:r>
    </w:p>
    <w:p>
      <w:pPr>
        <w:pStyle w:val="ListParagraph"/>
        <w:numPr>
          <w:ilvl w:val="0"/>
          <w:numId w:val="2"/>
        </w:numPr>
        <w:spacing w:after="80" w:line="276"/>
      </w:pPr>
      <w:r>
        <w:rPr>
          <w:sz w:val="21"/>
          <w:szCs w:val="21"/>
        </w:rPr>
        <w:t xml:space="preserve">T-08: Water Resources &amp; Environmental Protection</w:t>
      </w:r>
    </w:p>
    <w:p>
      <w:pPr>
        <w:spacing w:after="140" w:line="276"/>
      </w:pPr>
      <w:r>
        <w:rPr>
          <w:i/>
          <w:iCs/>
          <w:color w:val="666666"/>
          <w:sz w:val="21"/>
          <w:szCs w:val="21"/>
        </w:rPr>
        <w:t xml:space="preserve">Submissions where the relevance to these tracks is unclear, or that focus primarily on collateral issues, may be desk-rejected.</w:t>
      </w:r>
    </w:p>
    <w:p>
      <w:pPr>
        <w:pStyle w:val="Heading1"/>
        <w:spacing w:after="150" w:before="300"/>
      </w:pPr>
      <w:r>
        <w:rPr>
          <w:b/>
          <w:bCs/>
          <w:color w:val="1F3864"/>
          <w:sz w:val="26"/>
          <w:szCs w:val="26"/>
        </w:rPr>
        <w:t xml:space="preserve">5. Submission Stages</w:t>
      </w:r>
    </w:p>
    <w:p>
      <w:pPr>
        <w:pStyle w:val="Heading2"/>
        <w:spacing w:after="100" w:before="200"/>
      </w:pPr>
      <w:r>
        <w:rPr>
          <w:b/>
          <w:bCs/>
          <w:color w:val="1F3864"/>
          <w:sz w:val="23"/>
          <w:szCs w:val="23"/>
        </w:rPr>
        <w:t xml:space="preserve">Stage 1 — Abstract</w:t>
      </w:r>
    </w:p>
    <w:p>
      <w:pPr>
        <w:pStyle w:val="ListParagraph"/>
        <w:numPr>
          <w:ilvl w:val="0"/>
          <w:numId w:val="2"/>
        </w:numPr>
        <w:spacing w:after="80" w:line="276"/>
      </w:pPr>
      <w:r>
        <w:rPr>
          <w:sz w:val="21"/>
          <w:szCs w:val="21"/>
        </w:rPr>
        <w:t xml:space="preserve">Length: 300–500 words.</w:t>
      </w:r>
    </w:p>
    <w:p>
      <w:pPr>
        <w:pStyle w:val="ListParagraph"/>
        <w:numPr>
          <w:ilvl w:val="0"/>
          <w:numId w:val="2"/>
        </w:numPr>
        <w:spacing w:after="80" w:line="276"/>
      </w:pPr>
      <w:r>
        <w:rPr>
          <w:sz w:val="21"/>
          <w:szCs w:val="21"/>
        </w:rPr>
        <w:t xml:space="preserve">File format: PDF only.</w:t>
      </w:r>
    </w:p>
    <w:p>
      <w:pPr>
        <w:pStyle w:val="ListParagraph"/>
        <w:numPr>
          <w:ilvl w:val="0"/>
          <w:numId w:val="2"/>
        </w:numPr>
        <w:spacing w:after="80" w:line="276"/>
      </w:pPr>
      <w:r>
        <w:rPr>
          <w:sz w:val="21"/>
          <w:szCs w:val="21"/>
        </w:rPr>
        <w:t xml:space="preserve">Review process: double-blind peer review by at least two independent reviewers.</w:t>
      </w:r>
    </w:p>
    <w:p>
      <w:pPr>
        <w:pStyle w:val="ListParagraph"/>
        <w:numPr>
          <w:ilvl w:val="0"/>
          <w:numId w:val="2"/>
        </w:numPr>
        <w:spacing w:after="80" w:line="276"/>
      </w:pPr>
      <w:r>
        <w:rPr>
          <w:sz w:val="21"/>
          <w:szCs w:val="21"/>
        </w:rPr>
        <w:t xml:space="preserve">Plagiarism/similarity limit: below 20%.</w:t>
      </w:r>
    </w:p>
    <w:p>
      <w:pPr>
        <w:pStyle w:val="ListParagraph"/>
        <w:numPr>
          <w:ilvl w:val="0"/>
          <w:numId w:val="2"/>
        </w:numPr>
        <w:spacing w:after="80" w:line="276"/>
      </w:pPr>
      <w:r>
        <w:rPr>
          <w:sz w:val="21"/>
          <w:szCs w:val="21"/>
        </w:rPr>
        <w:t xml:space="preserve">Deadline: June 08, 2026.</w:t>
      </w:r>
    </w:p>
    <w:p>
      <w:pPr>
        <w:spacing w:after="140" w:line="276"/>
      </w:pPr>
      <w:r>
        <w:rPr>
          <w:sz w:val="21"/>
          <w:szCs w:val="21"/>
        </w:rPr>
        <w:t xml:space="preserve">Submit your abstract at: </w:t>
      </w:r>
      <w:hyperlink w:history="1" r:id="rId218n9s49p-oqiozyl5dgm">
        <w:r>
          <w:rPr>
            <w:color w:val="1155CC"/>
            <w:sz w:val="21"/>
            <w:szCs w:val="21"/>
            <w:u w:val="single"/>
          </w:rPr>
          <w:t xml:space="preserve">https://csetgaposa.github.io/registration/</w:t>
        </w:r>
      </w:hyperlink>
    </w:p>
    <w:p>
      <w:pPr>
        <w:pStyle w:val="Heading2"/>
        <w:spacing w:after="100" w:before="200"/>
      </w:pPr>
      <w:r>
        <w:rPr>
          <w:b/>
          <w:bCs/>
          <w:color w:val="1F3864"/>
          <w:sz w:val="23"/>
          <w:szCs w:val="23"/>
        </w:rPr>
        <w:t xml:space="preserve">Stage 2 — Full Paper</w:t>
      </w:r>
    </w:p>
    <w:p>
      <w:pPr>
        <w:pStyle w:val="ListParagraph"/>
        <w:numPr>
          <w:ilvl w:val="0"/>
          <w:numId w:val="2"/>
        </w:numPr>
        <w:spacing w:after="80" w:line="276"/>
      </w:pPr>
      <w:r>
        <w:rPr>
          <w:sz w:val="21"/>
          <w:szCs w:val="21"/>
        </w:rPr>
        <w:t xml:space="preserve">Eligibility: authors of accepted abstracts who register and present at the conference.</w:t>
      </w:r>
    </w:p>
    <w:p>
      <w:pPr>
        <w:pStyle w:val="ListParagraph"/>
        <w:numPr>
          <w:ilvl w:val="0"/>
          <w:numId w:val="2"/>
        </w:numPr>
        <w:spacing w:after="80" w:line="276"/>
      </w:pPr>
      <w:r>
        <w:rPr>
          <w:sz w:val="21"/>
          <w:szCs w:val="21"/>
        </w:rPr>
        <w:t xml:space="preserve">Format: IEEE two-column template (the ICSEECR 2026 Paper Template).</w:t>
      </w:r>
    </w:p>
    <w:p>
      <w:pPr>
        <w:pStyle w:val="ListParagraph"/>
        <w:numPr>
          <w:ilvl w:val="0"/>
          <w:numId w:val="2"/>
        </w:numPr>
        <w:spacing w:after="80" w:line="276"/>
      </w:pPr>
      <w:r>
        <w:rPr>
          <w:sz w:val="21"/>
          <w:szCs w:val="21"/>
        </w:rPr>
        <w:t xml:space="preserve">Length: 6–12 pages, inclusive of references.</w:t>
      </w:r>
    </w:p>
    <w:p>
      <w:pPr>
        <w:pStyle w:val="ListParagraph"/>
        <w:numPr>
          <w:ilvl w:val="0"/>
          <w:numId w:val="2"/>
        </w:numPr>
        <w:spacing w:after="80" w:line="276"/>
      </w:pPr>
      <w:r>
        <w:rPr>
          <w:sz w:val="21"/>
          <w:szCs w:val="21"/>
        </w:rPr>
        <w:t xml:space="preserve">File format: Microsoft Word (.docx) — submit the editable file, not a PDF, so the editorial team can add page numbers and make final layout corrections.</w:t>
      </w:r>
    </w:p>
    <w:p>
      <w:pPr>
        <w:pStyle w:val="ListParagraph"/>
        <w:numPr>
          <w:ilvl w:val="0"/>
          <w:numId w:val="2"/>
        </w:numPr>
        <w:spacing w:after="80" w:line="276"/>
      </w:pPr>
      <w:r>
        <w:rPr>
          <w:sz w:val="21"/>
          <w:szCs w:val="21"/>
        </w:rPr>
        <w:t xml:space="preserve">Review process: standard IEEE review for Xplore inclusion.</w:t>
      </w:r>
    </w:p>
    <w:p>
      <w:pPr>
        <w:pStyle w:val="ListParagraph"/>
        <w:numPr>
          <w:ilvl w:val="0"/>
          <w:numId w:val="2"/>
        </w:numPr>
        <w:spacing w:after="80" w:line="276"/>
      </w:pPr>
      <w:r>
        <w:rPr>
          <w:sz w:val="21"/>
          <w:szCs w:val="21"/>
        </w:rPr>
        <w:t xml:space="preserve">Submission window: opens July 14, 2026; closes August 07, 2026 (two weeks after the conference).</w:t>
      </w:r>
    </w:p>
    <w:p>
      <w:pPr>
        <w:spacing w:after="140" w:line="276"/>
      </w:pPr>
      <w:r>
        <w:rPr>
          <w:sz w:val="21"/>
          <w:szCs w:val="21"/>
        </w:rPr>
        <w:t xml:space="preserve">Check the conference website for the confirmed full-paper submission link, as this may differ from the abstract portal.</w:t>
      </w:r>
    </w:p>
    <w:p>
      <w:pPr>
        <w:pStyle w:val="Heading2"/>
        <w:spacing w:after="100" w:before="200"/>
      </w:pPr>
      <w:r>
        <w:rPr>
          <w:b/>
          <w:bCs/>
          <w:color w:val="1F3864"/>
          <w:sz w:val="23"/>
          <w:szCs w:val="23"/>
        </w:rPr>
        <w:t xml:space="preserve">Stage 3 — Corrected Copy for Book of Proceedings</w:t>
      </w:r>
    </w:p>
    <w:p>
      <w:pPr>
        <w:pStyle w:val="ListParagraph"/>
        <w:numPr>
          <w:ilvl w:val="0"/>
          <w:numId w:val="2"/>
        </w:numPr>
        <w:spacing w:after="80" w:line="276"/>
      </w:pPr>
      <w:r>
        <w:rPr>
          <w:sz w:val="21"/>
          <w:szCs w:val="21"/>
        </w:rPr>
        <w:t xml:space="preserve">Following full-paper review, authors incorporate any final reviewer or editorial corrections.</w:t>
      </w:r>
    </w:p>
    <w:p>
      <w:pPr>
        <w:pStyle w:val="ListParagraph"/>
        <w:numPr>
          <w:ilvl w:val="0"/>
          <w:numId w:val="2"/>
        </w:numPr>
        <w:spacing w:after="80" w:line="276"/>
      </w:pPr>
      <w:r>
        <w:rPr>
          <w:sz w:val="21"/>
          <w:szCs w:val="21"/>
        </w:rPr>
        <w:t xml:space="preserve">The corrected copy is the version compiled into the official ICSEECR 2026 Book of Proceedings / IEEE Xplore submission.</w:t>
      </w:r>
    </w:p>
    <w:p>
      <w:pPr>
        <w:pStyle w:val="ListParagraph"/>
        <w:numPr>
          <w:ilvl w:val="0"/>
          <w:numId w:val="2"/>
        </w:numPr>
        <w:spacing w:after="80" w:line="276"/>
      </w:pPr>
      <w:r>
        <w:rPr>
          <w:sz w:val="21"/>
          <w:szCs w:val="21"/>
        </w:rPr>
        <w:t xml:space="preserve">Exact deadline for the corrected copy will be communicated after the full-paper deadline; watch for an e-mail from the Secretariat.</w:t>
      </w:r>
    </w:p>
    <w:p>
      <w:pPr>
        <w:pStyle w:val="Heading1"/>
        <w:spacing w:after="150" w:before="300"/>
      </w:pPr>
      <w:r>
        <w:rPr>
          <w:b/>
          <w:bCs/>
          <w:color w:val="1F3864"/>
          <w:sz w:val="26"/>
          <w:szCs w:val="26"/>
        </w:rPr>
        <w:t xml:space="preserve">6. What Makes a Strong Submission</w:t>
      </w:r>
    </w:p>
    <w:p>
      <w:pPr>
        <w:spacing w:after="140" w:line="276"/>
      </w:pPr>
      <w:r>
        <w:rPr>
          <w:b/>
          <w:bCs/>
          <w:sz w:val="21"/>
          <w:szCs w:val="21"/>
        </w:rPr>
        <w:t xml:space="preserve">Significance: </w:t>
      </w:r>
      <w:r>
        <w:rPr>
          <w:sz w:val="21"/>
          <w:szCs w:val="21"/>
        </w:rPr>
        <w:t xml:space="preserve">The problem addressed should be meaningful and of practical or theoretical value to the sustainability, environmental, or engineering community — not a concern specific only to the author team.</w:t>
      </w:r>
    </w:p>
    <w:p>
      <w:pPr>
        <w:spacing w:after="140" w:line="276"/>
      </w:pPr>
      <w:r>
        <w:rPr>
          <w:b/>
          <w:bCs/>
          <w:sz w:val="21"/>
          <w:szCs w:val="21"/>
        </w:rPr>
        <w:t xml:space="preserve">Originality: </w:t>
      </w:r>
      <w:r>
        <w:rPr>
          <w:sz w:val="21"/>
          <w:szCs w:val="21"/>
        </w:rPr>
        <w:t xml:space="preserve">Contributions should be innovative, clearly positioned against related work, and free of excessive self-citation.</w:t>
      </w:r>
    </w:p>
    <w:p>
      <w:pPr>
        <w:spacing w:after="140" w:line="276"/>
      </w:pPr>
      <w:r>
        <w:rPr>
          <w:b/>
          <w:bCs/>
          <w:sz w:val="21"/>
          <w:szCs w:val="21"/>
        </w:rPr>
        <w:t xml:space="preserve">Rigor: </w:t>
      </w:r>
      <w:r>
        <w:rPr>
          <w:sz w:val="21"/>
          <w:szCs w:val="21"/>
        </w:rPr>
        <w:t xml:space="preserve">Claims should be supported by sufficient technical depth — adequate datasets, experiments, analysis, or field evidence as appropriate to the work.</w:t>
      </w:r>
    </w:p>
    <w:p>
      <w:pPr>
        <w:spacing w:after="140" w:line="276"/>
      </w:pPr>
      <w:r>
        <w:rPr>
          <w:b/>
          <w:bCs/>
          <w:sz w:val="21"/>
          <w:szCs w:val="21"/>
        </w:rPr>
        <w:t xml:space="preserve">Clarity: </w:t>
      </w:r>
      <w:r>
        <w:rPr>
          <w:sz w:val="21"/>
          <w:szCs w:val="21"/>
        </w:rPr>
        <w:t xml:space="preserve">The paper should be well structured and strictly follow the ICSEECR 2026 Word template. English should be proofread carefully; non-native English speakers are encouraged to have a colleague review the manuscript before submission.</w:t>
      </w:r>
    </w:p>
    <w:p>
      <w:pPr>
        <w:spacing w:after="140" w:line="276"/>
      </w:pPr>
      <w:r>
        <w:rPr>
          <w:b/>
          <w:bCs/>
          <w:sz w:val="21"/>
          <w:szCs w:val="21"/>
        </w:rPr>
        <w:t xml:space="preserve">Use of AI tools: </w:t>
      </w:r>
      <w:r>
        <w:rPr>
          <w:sz w:val="21"/>
          <w:szCs w:val="21"/>
        </w:rPr>
        <w:t xml:space="preserve">Generative AI tools may assist with editing or background research, but must not substitute for authorship. Any significant use of AI in the research or manuscript preparation should be disclosed.</w:t>
      </w:r>
    </w:p>
    <w:p>
      <w:pPr>
        <w:pStyle w:val="Heading1"/>
        <w:spacing w:after="150" w:before="300"/>
      </w:pPr>
      <w:r>
        <w:rPr>
          <w:b/>
          <w:bCs/>
          <w:color w:val="1F3864"/>
          <w:sz w:val="26"/>
          <w:szCs w:val="26"/>
        </w:rPr>
        <w:t xml:space="preserve">7. Manuscript Preparation (Full Paper)</w:t>
      </w:r>
    </w:p>
    <w:p>
      <w:pPr>
        <w:pStyle w:val="ListParagraph"/>
        <w:numPr>
          <w:ilvl w:val="0"/>
          <w:numId w:val="2"/>
        </w:numPr>
        <w:spacing w:after="80" w:line="276"/>
      </w:pPr>
      <w:r>
        <w:rPr>
          <w:sz w:val="21"/>
          <w:szCs w:val="21"/>
        </w:rPr>
        <w:t xml:space="preserve">Use the official ICSEECR 2026 Paper Template (IEEE two-column format, Times New Roman).</w:t>
      </w:r>
    </w:p>
    <w:p>
      <w:pPr>
        <w:pStyle w:val="ListParagraph"/>
        <w:numPr>
          <w:ilvl w:val="0"/>
          <w:numId w:val="2"/>
        </w:numPr>
        <w:spacing w:after="80" w:line="276"/>
      </w:pPr>
      <w:r>
        <w:rPr>
          <w:sz w:val="21"/>
          <w:szCs w:val="21"/>
        </w:rPr>
        <w:t xml:space="preserve">Do not alter margins, font sizes, or line spacing to fit more content into the page limit.</w:t>
      </w:r>
    </w:p>
    <w:p>
      <w:pPr>
        <w:pStyle w:val="ListParagraph"/>
        <w:numPr>
          <w:ilvl w:val="0"/>
          <w:numId w:val="2"/>
        </w:numPr>
        <w:spacing w:after="80" w:line="276"/>
      </w:pPr>
      <w:r>
        <w:rPr>
          <w:sz w:val="21"/>
          <w:szCs w:val="21"/>
        </w:rPr>
        <w:t xml:space="preserve">Figures and tables must be cited in-text (e.g., “Fig. 1”, “Table I”) before or near their first appearance.</w:t>
      </w:r>
    </w:p>
    <w:p>
      <w:pPr>
        <w:pStyle w:val="ListParagraph"/>
        <w:numPr>
          <w:ilvl w:val="0"/>
          <w:numId w:val="2"/>
        </w:numPr>
        <w:spacing w:after="80" w:line="276"/>
      </w:pPr>
      <w:r>
        <w:rPr>
          <w:sz w:val="21"/>
          <w:szCs w:val="21"/>
        </w:rPr>
        <w:t xml:space="preserve">Use vector formats where possible; raster images should be at least 300 dpi (600 dpi for line art).</w:t>
      </w:r>
    </w:p>
    <w:p>
      <w:pPr>
        <w:pStyle w:val="ListParagraph"/>
        <w:numPr>
          <w:ilvl w:val="0"/>
          <w:numId w:val="2"/>
        </w:numPr>
        <w:spacing w:after="80" w:line="276"/>
      </w:pPr>
      <w:r>
        <w:rPr>
          <w:sz w:val="21"/>
          <w:szCs w:val="21"/>
        </w:rPr>
        <w:t xml:space="preserve">Equations should be numbered consecutively, flush right, and referenced as “(1)” in text.</w:t>
      </w:r>
    </w:p>
    <w:p>
      <w:pPr>
        <w:pStyle w:val="ListParagraph"/>
        <w:numPr>
          <w:ilvl w:val="0"/>
          <w:numId w:val="2"/>
        </w:numPr>
        <w:spacing w:after="80" w:line="276"/>
      </w:pPr>
      <w:r>
        <w:rPr>
          <w:sz w:val="21"/>
          <w:szCs w:val="21"/>
        </w:rPr>
        <w:t xml:space="preserve">References must follow IEEE citation style, numbered in order of first citation, e.g., [1], [2]–[4].</w:t>
      </w:r>
    </w:p>
    <w:p>
      <w:pPr>
        <w:pStyle w:val="Heading1"/>
        <w:spacing w:after="150" w:before="300"/>
      </w:pPr>
      <w:r>
        <w:rPr>
          <w:b/>
          <w:bCs/>
          <w:color w:val="1F3864"/>
          <w:sz w:val="26"/>
          <w:szCs w:val="26"/>
        </w:rPr>
        <w:t xml:space="preserve">8. Plagiarism Policy</w:t>
      </w:r>
    </w:p>
    <w:p>
      <w:pPr>
        <w:spacing w:after="140" w:line="276"/>
      </w:pPr>
      <w:r>
        <w:rPr>
          <w:sz w:val="21"/>
          <w:szCs w:val="21"/>
        </w:rPr>
        <w:t xml:space="preserve">Plagiarism — the use of another's ideas, results, or words without proper acknowledgment — is a serious breach of academic integrity. All abstracts and full papers are screened for textual similarity; submissions with a similarity index of 20% or above will not proceed to review. Confirmed plagiarism or fabricated data/citations will result in outright rejection, with repeat offenses reported to the author's home institution.</w:t>
      </w:r>
    </w:p>
    <w:p>
      <w:pPr>
        <w:pStyle w:val="Heading1"/>
        <w:spacing w:after="150" w:before="300"/>
      </w:pPr>
      <w:r>
        <w:rPr>
          <w:b/>
          <w:bCs/>
          <w:color w:val="1F3864"/>
          <w:sz w:val="26"/>
          <w:szCs w:val="26"/>
        </w:rPr>
        <w:t xml:space="preserve">9. Awards</w:t>
      </w:r>
    </w:p>
    <w:p>
      <w:pPr>
        <w:spacing w:after="140" w:line="276"/>
      </w:pPr>
      <w:r>
        <w:rPr>
          <w:b/>
          <w:bCs/>
          <w:sz w:val="21"/>
          <w:szCs w:val="21"/>
        </w:rPr>
        <w:t xml:space="preserve">Best Student Paper Presentation Award — </w:t>
      </w:r>
      <w:r>
        <w:rPr>
          <w:sz w:val="21"/>
          <w:szCs w:val="21"/>
        </w:rPr>
        <w:t xml:space="preserve">for the most outstanding student research presentation, judged on originality, technical quality, presentation, and impact.</w:t>
      </w:r>
    </w:p>
    <w:p>
      <w:pPr>
        <w:spacing w:after="140" w:line="276"/>
      </w:pPr>
      <w:r>
        <w:rPr>
          <w:b/>
          <w:bCs/>
          <w:sz w:val="21"/>
          <w:szCs w:val="21"/>
        </w:rPr>
        <w:t xml:space="preserve">Best Author Paper Presentation Award — </w:t>
      </w:r>
      <w:r>
        <w:rPr>
          <w:sz w:val="21"/>
          <w:szCs w:val="21"/>
        </w:rPr>
        <w:t xml:space="preserve">for the best overall academic/industry paper presentation, judged on innovation, methodology, and contribution to sustainability.</w:t>
      </w:r>
    </w:p>
    <w:p>
      <w:pPr>
        <w:pStyle w:val="Heading1"/>
        <w:spacing w:after="150" w:before="300"/>
      </w:pPr>
      <w:r>
        <w:rPr>
          <w:b/>
          <w:bCs/>
          <w:color w:val="1F3864"/>
          <w:sz w:val="26"/>
          <w:szCs w:val="26"/>
        </w:rPr>
        <w:t xml:space="preserve">10. Copyright and Publication</w:t>
      </w:r>
    </w:p>
    <w:p>
      <w:pPr>
        <w:spacing w:after="140" w:line="276"/>
      </w:pPr>
      <w:r>
        <w:rPr>
          <w:sz w:val="21"/>
          <w:szCs w:val="21"/>
        </w:rPr>
        <w:t xml:space="preserve">Accepted and presented full papers will be considered for the IEEE Xplore Digital Library, subject to IEEE technical co-sponsorship approval. Should IEEE approval not be secured, authors will be notified of the confirmed alternative publication outlet. Copyright transfer and licensing terms will be communicated once the publishing arrangement is finalized.</w:t>
      </w:r>
    </w:p>
    <w:p>
      <w:pPr>
        <w:pStyle w:val="Heading1"/>
        <w:spacing w:after="150" w:before="300"/>
      </w:pPr>
      <w:r>
        <w:rPr>
          <w:b/>
          <w:bCs/>
          <w:color w:val="1F3864"/>
          <w:sz w:val="26"/>
          <w:szCs w:val="26"/>
        </w:rPr>
        <w:t xml:space="preserve">11. Contact</w:t>
      </w:r>
    </w:p>
    <w:p>
      <w:pPr>
        <w:spacing w:after="140" w:line="276"/>
      </w:pPr>
      <w:r>
        <w:rPr>
          <w:sz w:val="21"/>
          <w:szCs w:val="21"/>
        </w:rPr>
        <w:t xml:space="preserve">ICSEECR 2026 Organizing Secretariat, Gateway (ICT) Polytechnic, Saapade, Ogun State, Nigeria.</w:t>
      </w:r>
    </w:p>
    <w:p>
      <w:pPr>
        <w:pStyle w:val="ListParagraph"/>
        <w:numPr>
          <w:ilvl w:val="0"/>
          <w:numId w:val="2"/>
        </w:numPr>
        <w:spacing w:after="80" w:line="276"/>
      </w:pPr>
      <w:r>
        <w:rPr>
          <w:sz w:val="21"/>
          <w:szCs w:val="21"/>
        </w:rPr>
        <w:t xml:space="preserve">Email: icseecr@gaposa.edu.ng</w:t>
      </w:r>
    </w:p>
    <w:p>
      <w:pPr>
        <w:pStyle w:val="ListParagraph"/>
        <w:numPr>
          <w:ilvl w:val="0"/>
          <w:numId w:val="2"/>
        </w:numPr>
        <w:spacing w:after="80" w:line="276"/>
      </w:pPr>
      <w:r>
        <w:rPr>
          <w:sz w:val="21"/>
          <w:szCs w:val="21"/>
        </w:rPr>
        <w:t xml:space="preserve">Email: csetgaposa@gmail.com</w:t>
      </w:r>
    </w:p>
    <w:p>
      <w:pPr>
        <w:pStyle w:val="ListParagraph"/>
        <w:numPr>
          <w:ilvl w:val="0"/>
          <w:numId w:val="2"/>
        </w:numPr>
        <w:spacing w:after="80" w:line="276"/>
      </w:pPr>
      <w:r>
        <w:rPr>
          <w:sz w:val="21"/>
          <w:szCs w:val="21"/>
        </w:rPr>
        <w:t xml:space="preserve">Phone: +234 805 401 2303 / +234 803 927 2829 / +234 803 382 4573</w:t>
      </w:r>
    </w:p>
    <w:p>
      <w:pPr>
        <w:spacing w:after="140" w:line="276"/>
      </w:pPr>
      <w:r>
        <w:rPr>
          <w:sz w:val="21"/>
          <w:szCs w:val="21"/>
        </w:rPr>
        <w:t xml:space="preserve">Conference website: </w:t>
      </w:r>
      <w:hyperlink w:history="1" r:id="rIdsrvxbuq_6znf_fxv8qy5k">
        <w:r>
          <w:rPr>
            <w:color w:val="1155CC"/>
            <w:sz w:val="21"/>
            <w:szCs w:val="21"/>
            <w:u w:val="single"/>
          </w:rPr>
          <w:t xml:space="preserve">https://csetgaposa.github.io/icseecr2026/</w:t>
        </w:r>
      </w:hyperlink>
    </w:p>
    <w:p>
      <w:pPr>
        <w:pBdr>
          <w:top w:val="single" w:color="AAAAAA" w:sz="4"/>
        </w:pBdr>
        <w:spacing w:before="300"/>
      </w:pPr>
      <w:r>
        <w:rPr>
          <w:i/>
          <w:iCs/>
          <w:color w:val="777777"/>
          <w:sz w:val="18"/>
          <w:szCs w:val="18"/>
        </w:rPr>
        <w:t xml:space="preserve">This document reflects conference details published on the official ICSEECR 2026 website as of July 2026. Please verify dates, fees, and submission links on the conference website before distribution, as these may be updated by the Organizing Committee.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218n9s49p-oqiozyl5dgm" Type="http://schemas.openxmlformats.org/officeDocument/2006/relationships/hyperlink" Target="https://csetgaposa.github.io/registration/" TargetMode="External"/><Relationship Id="rIdsrvxbuq_6znf_fxv8qy5k" Type="http://schemas.openxmlformats.org/officeDocument/2006/relationships/hyperlink" Target="https://csetgaposa.github.io/icseecr2026/"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2026-07-04T13:22:45.888Z</dcterms:created>
  <dcterms:modified xsi:type="dcterms:W3CDTF">2026-07-04T13:22:45.888Z</dcterms:modified>
</cp:coreProperties>
</file>

<file path=docProps/custom.xml><?xml version="1.0" encoding="utf-8"?>
<Properties xmlns="http://schemas.openxmlformats.org/officeDocument/2006/custom-properties" xmlns:vt="http://schemas.openxmlformats.org/officeDocument/2006/docPropsVTypes"/>
</file>