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"/>
        <w:tblW w:w="4390" w:type="dxa"/>
        <w:tblCellMar>
          <w:left w:w="70" w:type="dxa"/>
          <w:right w:w="70" w:type="dxa"/>
        </w:tblCellMar>
        <w:tblLook w:val="04A0"/>
      </w:tblPr>
      <w:tblGrid>
        <w:gridCol w:w="1541"/>
        <w:gridCol w:w="2849"/>
      </w:tblGrid>
      <w:tr w:rsidR="00E728E7" w:rsidRPr="00E728E7" w:rsidTr="00E728E7">
        <w:trPr>
          <w:trHeight w:val="185"/>
        </w:trPr>
        <w:tc>
          <w:tcPr>
            <w:tcW w:w="4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E728E7" w:rsidRPr="00E728E7" w:rsidRDefault="000F24E2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FFFFFF"/>
                <w:lang w:eastAsia="es-EC"/>
              </w:rPr>
              <w:pict>
                <v:roundrect id="_x0000_s1062" style="position:absolute;left:0;text-align:left;margin-left:-163.75pt;margin-top:-42.45pt;width:544.8pt;height:44.35pt;z-index:251678720" arcsize="10923f" fillcolor="#ccecff">
                  <v:textbox>
                    <w:txbxContent>
                      <w:p w:rsidR="00840E8E" w:rsidRDefault="00840E8E" w:rsidP="00840E8E">
                        <w:pP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sz w:val="24"/>
                          </w:rPr>
                        </w:pPr>
                        <w:r w:rsidRPr="00BD002F">
                          <w:rPr>
                            <w:rFonts w:ascii="Arial Black" w:hAnsi="Arial Black"/>
                            <w:sz w:val="24"/>
                          </w:rPr>
                          <w:t>PROVINCIA EL ORO</w:t>
                        </w:r>
                      </w:p>
                      <w:p w:rsidR="00840E8E" w:rsidRPr="00BD002F" w:rsidRDefault="00840E8E" w:rsidP="00840E8E">
                        <w:pPr>
                          <w:jc w:val="center"/>
                          <w:rPr>
                            <w:rFonts w:ascii="Arial Black" w:hAnsi="Arial Black"/>
                            <w:sz w:val="24"/>
                          </w:rPr>
                        </w:pPr>
                        <w:r>
                          <w:rPr>
                            <w:rFonts w:ascii="Arial Black" w:hAnsi="Arial Black"/>
                            <w:sz w:val="24"/>
                          </w:rPr>
                          <w:t xml:space="preserve"> (30 de noviembre de 2017)</w:t>
                        </w:r>
                      </w:p>
                    </w:txbxContent>
                  </v:textbox>
                </v:roundrect>
              </w:pict>
            </w:r>
            <w:r w:rsidR="00E728E7" w:rsidRPr="00E728E7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 xml:space="preserve">Participantes : 99 </w:t>
            </w:r>
          </w:p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Propuestas: 39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Sector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Propuestas por Sector (%)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Acuacultura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26%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Turismo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23%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Industria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18%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Transporte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13%</w:t>
            </w:r>
          </w:p>
        </w:tc>
      </w:tr>
      <w:tr w:rsidR="00E728E7" w:rsidRPr="00E728E7" w:rsidTr="00E728E7">
        <w:trPr>
          <w:trHeight w:val="18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Agroindustria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10%</w:t>
            </w:r>
          </w:p>
        </w:tc>
      </w:tr>
      <w:tr w:rsidR="00E728E7" w:rsidRPr="00E728E7" w:rsidTr="00E728E7">
        <w:trPr>
          <w:trHeight w:val="73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Comercio</w:t>
            </w:r>
          </w:p>
        </w:tc>
        <w:tc>
          <w:tcPr>
            <w:tcW w:w="2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8E7" w:rsidRPr="00E728E7" w:rsidRDefault="00E728E7" w:rsidP="00E72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728E7">
              <w:rPr>
                <w:rFonts w:ascii="Calibri" w:eastAsia="Times New Roman" w:hAnsi="Calibri" w:cs="Calibri"/>
                <w:color w:val="000000"/>
                <w:lang w:eastAsia="es-EC"/>
              </w:rPr>
              <w:t>10%</w:t>
            </w:r>
          </w:p>
        </w:tc>
      </w:tr>
    </w:tbl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b/>
          <w:sz w:val="20"/>
          <w:szCs w:val="20"/>
        </w:rPr>
      </w:pPr>
      <w:r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2667F0" w:rsidP="00BA03FF">
      <w:pPr>
        <w:rPr>
          <w:b/>
          <w:sz w:val="20"/>
          <w:szCs w:val="20"/>
        </w:rPr>
      </w:pPr>
    </w:p>
    <w:p w:rsidR="00154AC3" w:rsidRDefault="000F24E2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0;margin-top:33.6pt;width:270pt;height:77.4pt;z-index:251666432;mso-width-relative:margin;mso-height-relative:margin" filled="f" stroked="f">
            <v:textbox style="mso-next-textbox:#_x0000_s1050">
              <w:txbxContent>
                <w:p w:rsidR="00840E8E" w:rsidRPr="009D12D1" w:rsidRDefault="00840E8E" w:rsidP="00840E8E">
                  <w:pPr>
                    <w:jc w:val="both"/>
                    <w:rPr>
                      <w:sz w:val="20"/>
                      <w:szCs w:val="20"/>
                    </w:rPr>
                  </w:pPr>
                  <w:r w:rsidRPr="009D12D1">
                    <w:rPr>
                      <w:b/>
                      <w:i/>
                      <w:sz w:val="20"/>
                      <w:szCs w:val="20"/>
                    </w:rPr>
                    <w:t>Simplificar Tramitología</w:t>
                  </w:r>
                  <w:r w:rsidRPr="009D12D1">
                    <w:rPr>
                      <w:sz w:val="20"/>
                      <w:szCs w:val="20"/>
                    </w:rPr>
                    <w:t xml:space="preserve"> (15%</w:t>
                  </w:r>
                  <w:r>
                    <w:rPr>
                      <w:sz w:val="20"/>
                      <w:szCs w:val="20"/>
                    </w:rPr>
                    <w:t xml:space="preserve"> de la participación total</w:t>
                  </w:r>
                  <w:r w:rsidRPr="009D12D1">
                    <w:rPr>
                      <w:sz w:val="20"/>
                      <w:szCs w:val="20"/>
                    </w:rPr>
                    <w:t xml:space="preserve">) es la principal necesidad de los </w:t>
                  </w:r>
                  <w:r>
                    <w:rPr>
                      <w:sz w:val="20"/>
                      <w:szCs w:val="20"/>
                    </w:rPr>
                    <w:t>actores</w:t>
                  </w:r>
                  <w:r w:rsidR="006F4F02">
                    <w:rPr>
                      <w:sz w:val="20"/>
                      <w:szCs w:val="20"/>
                    </w:rPr>
                    <w:t xml:space="preserve"> industriales, comerciales y agroindustriales</w:t>
                  </w:r>
                  <w:r>
                    <w:rPr>
                      <w:sz w:val="20"/>
                      <w:szCs w:val="20"/>
                    </w:rPr>
                    <w:t xml:space="preserve">, seguido de </w:t>
                  </w:r>
                  <w:r>
                    <w:rPr>
                      <w:b/>
                      <w:i/>
                      <w:sz w:val="20"/>
                      <w:szCs w:val="20"/>
                    </w:rPr>
                    <w:t>Ide</w:t>
                  </w:r>
                  <w:r w:rsidRPr="009D12D1">
                    <w:rPr>
                      <w:b/>
                      <w:i/>
                      <w:sz w:val="20"/>
                      <w:szCs w:val="20"/>
                    </w:rPr>
                    <w:t>ntificación de la demanda nacional e internacional</w:t>
                  </w:r>
                  <w:r w:rsidR="006F4F02">
                    <w:rPr>
                      <w:sz w:val="20"/>
                      <w:szCs w:val="20"/>
                    </w:rPr>
                    <w:t xml:space="preserve"> (10%) en turismo, transporte y comercio.</w:t>
                  </w:r>
                </w:p>
                <w:p w:rsidR="00304C09" w:rsidRPr="00304C09" w:rsidRDefault="00304C09" w:rsidP="00304C09"/>
              </w:txbxContent>
            </v:textbox>
          </v:shape>
        </w:pict>
      </w:r>
      <w:r>
        <w:rPr>
          <w:b/>
          <w:noProof/>
          <w:sz w:val="20"/>
          <w:szCs w:val="20"/>
          <w:lang w:eastAsia="es-EC"/>
        </w:rPr>
        <w:pict>
          <v:roundrect id="_x0000_s1040" style="position:absolute;margin-left:41.65pt;margin-top:14.25pt;width:153.4pt;height:21.25pt;z-index:251659264" arcsize="10923f" filled="f" strokecolor="#0070c0">
            <v:textbox style="mso-next-textbox:#_x0000_s1040">
              <w:txbxContent>
                <w:p w:rsidR="00E728E7" w:rsidRPr="00B6744B" w:rsidRDefault="00E728E7" w:rsidP="00E728E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Necesidad  Detectada</w:t>
                  </w:r>
                </w:p>
                <w:p w:rsidR="002667F0" w:rsidRPr="00E728E7" w:rsidRDefault="002667F0" w:rsidP="00E728E7"/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1" style="position:absolute;margin-left:341.65pt;margin-top:15.05pt;width:153.4pt;height:21.25pt;z-index:251660288" arcsize="10923f" filled="f" strokecolor="#0070c0">
            <v:textbox style="mso-next-textbox:#_x0000_s1041">
              <w:txbxContent>
                <w:p w:rsidR="00E728E7" w:rsidRPr="00B6744B" w:rsidRDefault="00E728E7" w:rsidP="00E728E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  <w:p w:rsidR="002667F0" w:rsidRPr="00E728E7" w:rsidRDefault="002667F0" w:rsidP="00E728E7"/>
              </w:txbxContent>
            </v:textbox>
          </v:roundrect>
        </w:pict>
      </w:r>
      <w:r w:rsidR="00E125CC">
        <w:rPr>
          <w:b/>
          <w:sz w:val="20"/>
          <w:szCs w:val="20"/>
        </w:rPr>
        <w:br w:type="textWrapping" w:clear="all"/>
      </w:r>
    </w:p>
    <w:p w:rsidR="00304C09" w:rsidRDefault="000F24E2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 id="_x0000_s1049" type="#_x0000_t202" style="position:absolute;left:0;text-align:left;margin-left:4in;margin-top:-.25pt;width:256.8pt;height:58.85pt;z-index:251665408;mso-width-relative:margin;mso-height-relative:margin" filled="f" stroked="f">
            <v:textbox style="mso-next-textbox:#_x0000_s1049">
              <w:txbxContent>
                <w:p w:rsidR="00840E8E" w:rsidRDefault="00840E8E" w:rsidP="00840E8E">
                  <w:pPr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principal eslabón de la Cadena Productiva que necesita atención es </w:t>
                  </w:r>
                  <w:r w:rsidRPr="002667F0">
                    <w:rPr>
                      <w:b/>
                      <w:i/>
                      <w:sz w:val="20"/>
                      <w:szCs w:val="20"/>
                    </w:rPr>
                    <w:t>insumos</w:t>
                  </w:r>
                  <w:r>
                    <w:rPr>
                      <w:sz w:val="20"/>
                      <w:szCs w:val="20"/>
                    </w:rPr>
                    <w:t xml:space="preserve"> seguido de </w:t>
                  </w:r>
                  <w:r w:rsidRPr="002667F0">
                    <w:rPr>
                      <w:b/>
                      <w:i/>
                      <w:sz w:val="20"/>
                      <w:szCs w:val="20"/>
                    </w:rPr>
                    <w:t>procesos</w:t>
                  </w:r>
                  <w:r>
                    <w:rPr>
                      <w:sz w:val="20"/>
                      <w:szCs w:val="20"/>
                    </w:rPr>
                    <w:t>.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C9605A">
                    <w:rPr>
                      <w:sz w:val="20"/>
                      <w:szCs w:val="20"/>
                    </w:rPr>
                    <w:t xml:space="preserve">La empresa pequeña </w:t>
                  </w:r>
                  <w:r>
                    <w:rPr>
                      <w:sz w:val="20"/>
                      <w:szCs w:val="20"/>
                    </w:rPr>
                    <w:t>abarca</w:t>
                  </w:r>
                  <w:r w:rsidRPr="00C9605A">
                    <w:rPr>
                      <w:sz w:val="20"/>
                      <w:szCs w:val="20"/>
                    </w:rPr>
                    <w:t xml:space="preserve"> el 59% de las propuestas</w:t>
                  </w:r>
                  <w:r w:rsidR="00D37C3C">
                    <w:rPr>
                      <w:sz w:val="20"/>
                      <w:szCs w:val="20"/>
                    </w:rPr>
                    <w:t xml:space="preserve">, y por ende la mayor falta de atención en ambos eslabones. 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304C09" w:rsidRDefault="00D37C3C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3655060</wp:posOffset>
            </wp:positionH>
            <wp:positionV relativeFrom="paragraph">
              <wp:posOffset>502285</wp:posOffset>
            </wp:positionV>
            <wp:extent cx="3202305" cy="2359660"/>
            <wp:effectExtent l="1905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05" cy="235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4F02"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502285</wp:posOffset>
            </wp:positionV>
            <wp:extent cx="3435985" cy="2327910"/>
            <wp:effectExtent l="1905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32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4C09" w:rsidRDefault="00304C09" w:rsidP="00154AC3">
      <w:pPr>
        <w:jc w:val="center"/>
        <w:rPr>
          <w:b/>
          <w:sz w:val="20"/>
          <w:szCs w:val="20"/>
        </w:rPr>
        <w:sectPr w:rsidR="00304C09" w:rsidSect="00DF514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EF6F06" w:rsidRDefault="000F24E2" w:rsidP="00D60432">
      <w:pPr>
        <w:jc w:val="center"/>
        <w:rPr>
          <w:noProof/>
          <w:sz w:val="20"/>
          <w:szCs w:val="20"/>
          <w:lang w:eastAsia="es-EC"/>
        </w:rPr>
      </w:pPr>
      <w:r w:rsidRPr="000F24E2">
        <w:rPr>
          <w:b/>
          <w:noProof/>
          <w:sz w:val="20"/>
          <w:szCs w:val="20"/>
          <w:lang w:eastAsia="es-EC"/>
        </w:rPr>
        <w:pict>
          <v:roundrect id="_x0000_s1044" style="position:absolute;left:0;text-align:left;margin-left:54pt;margin-top:213.55pt;width:180pt;height:21.25pt;z-index:251661312" arcsize="10923f" filled="f" strokecolor="#0070c0">
            <v:textbox style="mso-next-textbox:#_x0000_s1044">
              <w:txbxContent>
                <w:p w:rsidR="00231A4B" w:rsidRPr="00D74081" w:rsidRDefault="00231A4B" w:rsidP="00231A4B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D74081">
                    <w:rPr>
                      <w:b/>
                      <w:sz w:val="26"/>
                      <w:szCs w:val="26"/>
                    </w:rPr>
                    <w:t>Instrumento</w:t>
                  </w:r>
                  <w:r w:rsidR="007D448C" w:rsidRPr="00D74081">
                    <w:rPr>
                      <w:b/>
                      <w:sz w:val="26"/>
                      <w:szCs w:val="26"/>
                    </w:rPr>
                    <w:t xml:space="preserve"> de A</w:t>
                  </w:r>
                  <w:r w:rsidRPr="00D74081">
                    <w:rPr>
                      <w:b/>
                      <w:sz w:val="26"/>
                      <w:szCs w:val="26"/>
                    </w:rPr>
                    <w:t>rticulación</w:t>
                  </w:r>
                </w:p>
              </w:txbxContent>
            </v:textbox>
          </v:roundrect>
        </w:pict>
      </w:r>
    </w:p>
    <w:p w:rsidR="009D12D1" w:rsidRDefault="000F24E2" w:rsidP="00D60432">
      <w:pPr>
        <w:jc w:val="center"/>
        <w:rPr>
          <w:noProof/>
          <w:sz w:val="20"/>
          <w:szCs w:val="20"/>
          <w:lang w:eastAsia="es-EC"/>
        </w:rPr>
      </w:pPr>
      <w:r w:rsidRPr="000F24E2">
        <w:rPr>
          <w:noProof/>
          <w:sz w:val="20"/>
          <w:szCs w:val="20"/>
          <w:lang w:val="es-ES"/>
        </w:rPr>
        <w:pict>
          <v:shape id="_x0000_s1047" type="#_x0000_t202" style="position:absolute;left:0;text-align:left;margin-left:297pt;margin-top:11.7pt;width:243.7pt;height:67.3pt;z-index:251664384;mso-width-relative:margin;mso-height-relative:margin" filled="f" stroked="f">
            <v:textbox style="mso-next-textbox:#_x0000_s1047">
              <w:txbxContent>
                <w:p w:rsidR="00840E8E" w:rsidRPr="00304C09" w:rsidRDefault="00840E8E" w:rsidP="00840E8E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El </w:t>
                  </w:r>
                  <w:r w:rsidRPr="00304C09">
                    <w:rPr>
                      <w:b/>
                      <w:i/>
                      <w:sz w:val="20"/>
                      <w:szCs w:val="20"/>
                      <w:lang w:val="es-ES"/>
                    </w:rPr>
                    <w:t>M</w:t>
                  </w:r>
                  <w:r>
                    <w:rPr>
                      <w:b/>
                      <w:i/>
                      <w:sz w:val="20"/>
                      <w:szCs w:val="20"/>
                      <w:lang w:val="es-ES"/>
                    </w:rPr>
                    <w:t>IPRO</w:t>
                  </w:r>
                  <w:r w:rsidRPr="00304C09">
                    <w:rPr>
                      <w:b/>
                      <w:i/>
                      <w:sz w:val="20"/>
                      <w:szCs w:val="20"/>
                      <w:lang w:val="es-ES"/>
                    </w:rPr>
                    <w:t xml:space="preserve"> </w:t>
                  </w: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 es el responsable directo de la ejecución de 4 propuestas (1 INEN)</w:t>
                  </w:r>
                  <w:r w:rsidR="00D37C3C">
                    <w:rPr>
                      <w:sz w:val="20"/>
                      <w:szCs w:val="20"/>
                      <w:lang w:val="es-ES"/>
                    </w:rPr>
                    <w:t>, el 9% de las necesidades registradas. GAD y Academia serían responsables del mayor número de propuestas.</w:t>
                  </w:r>
                </w:p>
                <w:p w:rsidR="00995986" w:rsidRPr="00840E8E" w:rsidRDefault="00995986" w:rsidP="00840E8E">
                  <w:pPr>
                    <w:rPr>
                      <w:szCs w:val="20"/>
                      <w:lang w:val="es-E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sz w:val="20"/>
          <w:szCs w:val="20"/>
          <w:lang w:eastAsia="es-EC"/>
        </w:rPr>
        <w:pict>
          <v:shape id="_x0000_s1051" type="#_x0000_t202" style="position:absolute;left:0;text-align:left;margin-left:0;margin-top:12.7pt;width:276.7pt;height:66.3pt;z-index:251667456;mso-width-relative:margin;mso-height-relative:margin" filled="f" stroked="f">
            <v:textbox style="mso-next-textbox:#_x0000_s1051">
              <w:txbxContent>
                <w:p w:rsidR="00840E8E" w:rsidRPr="00154AC3" w:rsidRDefault="00840E8E" w:rsidP="00840E8E">
                  <w:pPr>
                    <w:jc w:val="both"/>
                    <w:rPr>
                      <w:b/>
                      <w:sz w:val="20"/>
                      <w:szCs w:val="20"/>
                    </w:rPr>
                  </w:pPr>
                  <w:r w:rsidRPr="00231A4B">
                    <w:rPr>
                      <w:b/>
                      <w:i/>
                      <w:sz w:val="20"/>
                      <w:szCs w:val="20"/>
                    </w:rPr>
                    <w:t>Política Pública</w:t>
                  </w:r>
                  <w:r>
                    <w:rPr>
                      <w:sz w:val="20"/>
                      <w:szCs w:val="20"/>
                    </w:rPr>
                    <w:t xml:space="preserve"> es el principal instrumento de articulación demandado por la  pequeña empresa</w:t>
                  </w:r>
                  <w:bookmarkStart w:id="0" w:name="_GoBack"/>
                  <w:bookmarkEnd w:id="0"/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D37C3C">
                    <w:rPr>
                      <w:sz w:val="20"/>
                      <w:szCs w:val="20"/>
                    </w:rPr>
                    <w:t xml:space="preserve">mientras que el impulso a través de la </w:t>
                  </w:r>
                  <w:r w:rsidR="00D37C3C" w:rsidRPr="00D37C3C">
                    <w:rPr>
                      <w:b/>
                      <w:i/>
                      <w:sz w:val="20"/>
                      <w:szCs w:val="20"/>
                    </w:rPr>
                    <w:t xml:space="preserve">Gestión </w:t>
                  </w:r>
                  <w:r w:rsidRPr="00995986">
                    <w:rPr>
                      <w:b/>
                      <w:i/>
                      <w:sz w:val="20"/>
                      <w:szCs w:val="20"/>
                    </w:rPr>
                    <w:t xml:space="preserve"> de Proyectos</w:t>
                  </w:r>
                  <w:r w:rsidR="00D37C3C">
                    <w:rPr>
                      <w:sz w:val="20"/>
                      <w:szCs w:val="20"/>
                    </w:rPr>
                    <w:t xml:space="preserve"> se</w:t>
                  </w:r>
                  <w:r>
                    <w:rPr>
                      <w:sz w:val="20"/>
                      <w:szCs w:val="20"/>
                    </w:rPr>
                    <w:t xml:space="preserve"> requiere en Empresas Grandes,  Pequeñas y EPS.</w:t>
                  </w:r>
                </w:p>
                <w:p w:rsidR="00304C09" w:rsidRPr="00304C09" w:rsidRDefault="00304C09" w:rsidP="00304C09"/>
              </w:txbxContent>
            </v:textbox>
          </v:shape>
        </w:pict>
      </w:r>
    </w:p>
    <w:p w:rsidR="009D12D1" w:rsidRDefault="00D37C3C" w:rsidP="00D60432">
      <w:pPr>
        <w:jc w:val="center"/>
        <w:rPr>
          <w:noProof/>
          <w:sz w:val="20"/>
          <w:szCs w:val="20"/>
          <w:lang w:eastAsia="es-EC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623570</wp:posOffset>
            </wp:positionV>
            <wp:extent cx="3079750" cy="2402840"/>
            <wp:effectExtent l="19050" t="0" r="6350" b="0"/>
            <wp:wrapSquare wrapText="bothSides"/>
            <wp:docPr id="2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02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601980</wp:posOffset>
            </wp:positionV>
            <wp:extent cx="3627755" cy="2286000"/>
            <wp:effectExtent l="1905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12D1" w:rsidRDefault="009D12D1" w:rsidP="00D60432">
      <w:pPr>
        <w:jc w:val="center"/>
        <w:rPr>
          <w:noProof/>
          <w:sz w:val="20"/>
          <w:szCs w:val="20"/>
          <w:lang w:eastAsia="es-EC"/>
        </w:rPr>
      </w:pPr>
    </w:p>
    <w:p w:rsidR="009D12D1" w:rsidRDefault="009D12D1" w:rsidP="00D60432">
      <w:pPr>
        <w:jc w:val="center"/>
        <w:rPr>
          <w:noProof/>
          <w:sz w:val="20"/>
          <w:szCs w:val="20"/>
          <w:lang w:eastAsia="es-EC"/>
        </w:rPr>
      </w:pPr>
    </w:p>
    <w:p w:rsidR="009D12D1" w:rsidRDefault="000F24E2" w:rsidP="00D60432">
      <w:pPr>
        <w:jc w:val="center"/>
        <w:rPr>
          <w:noProof/>
          <w:sz w:val="20"/>
          <w:szCs w:val="20"/>
          <w:lang w:eastAsia="es-EC"/>
        </w:rPr>
      </w:pPr>
      <w:r w:rsidRPr="000F24E2">
        <w:rPr>
          <w:b/>
          <w:noProof/>
          <w:sz w:val="20"/>
          <w:szCs w:val="20"/>
          <w:lang w:eastAsia="es-EC"/>
        </w:rPr>
        <w:pict>
          <v:roundrect id="_x0000_s1046" style="position:absolute;left:0;text-align:left;margin-left:26.75pt;margin-top:213.55pt;width:189pt;height:21.25pt;z-index:251662336" arcsize="10923f" filled="f" strokecolor="#0070c0">
            <v:textbox style="mso-next-textbox:#_x0000_s1046">
              <w:txbxContent>
                <w:p w:rsidR="00995986" w:rsidRPr="00D74081" w:rsidRDefault="00995986" w:rsidP="00995986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D74081"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</w:txbxContent>
            </v:textbox>
          </v:roundrect>
        </w:pict>
      </w: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0F24E2" w:rsidP="00D60432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EC"/>
        </w:rPr>
        <w:pict>
          <v:shape id="_x0000_s1063" type="#_x0000_t202" style="position:absolute;left:0;text-align:left;margin-left:9pt;margin-top:26.75pt;width:522pt;height:567pt;z-index:251679744;mso-width-relative:margin;mso-height-relative:margin" filled="f" fillcolor="white [3212]" stroked="f">
            <v:textbox style="mso-next-textbox:#_x0000_s1063">
              <w:txbxContent>
                <w:p w:rsidR="00840E8E" w:rsidRPr="00F23AC4" w:rsidRDefault="00840E8E" w:rsidP="00840E8E">
                  <w:pPr>
                    <w:rPr>
                      <w:rFonts w:cstheme="minorHAnsi"/>
                      <w:b/>
                      <w:sz w:val="28"/>
                      <w:szCs w:val="24"/>
                    </w:rPr>
                  </w:pPr>
                  <w:r w:rsidRPr="00F23AC4">
                    <w:rPr>
                      <w:rFonts w:cstheme="minorHAnsi"/>
                      <w:b/>
                      <w:sz w:val="28"/>
                      <w:szCs w:val="24"/>
                    </w:rPr>
                    <w:t>MIPRO: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Ventanilla única empresarial que permita generar agilidad y disminución de Tramitología en la obtención de permisos de las instituciones públicas.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Coordinación General de Servicios para la Producción</w:t>
                  </w:r>
                  <w:r>
                    <w:rPr>
                      <w:sz w:val="24"/>
                    </w:rPr>
                    <w:t>.</w:t>
                  </w:r>
                  <w:r w:rsidR="004C40F9" w:rsidRPr="004C40F9">
                    <w:rPr>
                      <w:b/>
                      <w:sz w:val="24"/>
                    </w:rPr>
                    <w:t>*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Difundir servicios e investigaciones desarrolladas por la academia para el sector agroindustrial, y promover la realización de investigación para el sector industrial.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Subsecretaría de </w:t>
                  </w:r>
                  <w:proofErr w:type="spellStart"/>
                  <w:r w:rsidRPr="00083412">
                    <w:rPr>
                      <w:sz w:val="24"/>
                    </w:rPr>
                    <w:t>MyPimes</w:t>
                  </w:r>
                  <w:proofErr w:type="spellEnd"/>
                  <w:r w:rsidRPr="00083412">
                    <w:rPr>
                      <w:sz w:val="24"/>
                    </w:rPr>
                    <w:t xml:space="preserve"> y Universidades (SENESCYT).</w:t>
                  </w:r>
                  <w:r w:rsidR="004C40F9" w:rsidRPr="004C40F9">
                    <w:rPr>
                      <w:b/>
                      <w:sz w:val="24"/>
                    </w:rPr>
                    <w:t>*</w:t>
                  </w:r>
                </w:p>
                <w:p w:rsidR="00840E8E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Programas de capacitación (marketing) y certificación de calidad para asociaciones y  operadores industriales.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Subsecretaría de Calidad, INEN.</w:t>
                  </w:r>
                </w:p>
                <w:p w:rsidR="00840E8E" w:rsidRPr="00083412" w:rsidRDefault="00840E8E" w:rsidP="00840E8E">
                  <w:pPr>
                    <w:rPr>
                      <w:b/>
                      <w:sz w:val="28"/>
                      <w:szCs w:val="24"/>
                    </w:rPr>
                  </w:pPr>
                  <w:r w:rsidRPr="00083412">
                    <w:rPr>
                      <w:b/>
                      <w:sz w:val="28"/>
                      <w:szCs w:val="24"/>
                    </w:rPr>
                    <w:t>Otras Instituciones (CSP y CCPT):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Fomento de crédito para implementación de cadena de frío en sector acuacultura.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MAP, BANECUADOR</w:t>
                  </w:r>
                  <w:r>
                    <w:rPr>
                      <w:sz w:val="24"/>
                    </w:rPr>
                    <w:t>.</w:t>
                  </w:r>
                  <w:r w:rsidR="003323DF" w:rsidRPr="003323DF">
                    <w:rPr>
                      <w:b/>
                      <w:sz w:val="24"/>
                    </w:rPr>
                    <w:t>*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Socializar los resultados de investigaciones que ayuden al sector camaronero.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MAP y Universidades.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Socializar la normativa nro.MAG 2017 12 </w:t>
                  </w:r>
                  <w:proofErr w:type="spellStart"/>
                  <w:r w:rsidRPr="00083412">
                    <w:rPr>
                      <w:sz w:val="24"/>
                    </w:rPr>
                    <w:t>anp</w:t>
                  </w:r>
                  <w:proofErr w:type="spellEnd"/>
                  <w:r w:rsidRPr="00083412">
                    <w:rPr>
                      <w:sz w:val="24"/>
                    </w:rPr>
                    <w:t xml:space="preserve">, para garantizar una buena producción de la larva para el sector camaronero.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MAP</w:t>
                  </w:r>
                  <w:r>
                    <w:rPr>
                      <w:sz w:val="24"/>
                    </w:rPr>
                    <w:t>.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Gestionar proyectos y estudios de viabilidad para mejorar la vialidad del sector en el tramo la y del cambio y rio 7.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s: MTOP</w:t>
                  </w:r>
                  <w:r>
                    <w:rPr>
                      <w:sz w:val="24"/>
                    </w:rPr>
                    <w:t>.</w:t>
                  </w:r>
                </w:p>
                <w:p w:rsidR="00840E8E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Alianzas estratégicas entre actores del sector turístico para la generación de: nuevas rutas, nichos adecuados, herramientas tecnológicas de identificación de spots turísticos cercanos, eventos de promoción turística.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 xml:space="preserve">: </w:t>
                  </w:r>
                  <w:r w:rsidR="004C40F9">
                    <w:rPr>
                      <w:sz w:val="24"/>
                    </w:rPr>
                    <w:t>MINTUR, Cámaras, Universidades.</w:t>
                  </w:r>
                  <w:r w:rsidR="004C40F9" w:rsidRPr="004C40F9">
                    <w:rPr>
                      <w:b/>
                      <w:sz w:val="24"/>
                    </w:rPr>
                    <w:t>*</w:t>
                  </w:r>
                </w:p>
                <w:p w:rsidR="00840E8E" w:rsidRPr="00083412" w:rsidRDefault="00840E8E" w:rsidP="00840E8E">
                  <w:pPr>
                    <w:rPr>
                      <w:sz w:val="24"/>
                    </w:rPr>
                  </w:pPr>
                  <w:r w:rsidRPr="00083412">
                    <w:rPr>
                      <w:b/>
                      <w:sz w:val="28"/>
                      <w:szCs w:val="24"/>
                    </w:rPr>
                    <w:t>Otros importantes: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Identificar oferta y demanda mediante un estudio de mercado para reactivación de aeropuerto Sta. Rosa.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083412">
                    <w:rPr>
                      <w:sz w:val="24"/>
                    </w:rPr>
                    <w:t>: DAC, MTOP</w:t>
                  </w:r>
                  <w:r>
                    <w:rPr>
                      <w:sz w:val="24"/>
                    </w:rPr>
                    <w:t>.</w:t>
                  </w:r>
                  <w:r w:rsidR="004C40F9" w:rsidRPr="004C40F9">
                    <w:rPr>
                      <w:b/>
                      <w:sz w:val="24"/>
                    </w:rPr>
                    <w:t>*</w:t>
                  </w:r>
                </w:p>
                <w:p w:rsidR="00840E8E" w:rsidRPr="00083412" w:rsidRDefault="00840E8E" w:rsidP="00840E8E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083412">
                    <w:rPr>
                      <w:sz w:val="24"/>
                    </w:rPr>
                    <w:t xml:space="preserve">Articular entre instituciones del estado (fuerza naval y policía) esfuerzos de apoyo al control, custodia y patrullaje de la ruta segura en el sector camaronero. </w:t>
                  </w:r>
                  <w:r>
                    <w:rPr>
                      <w:b/>
                      <w:sz w:val="24"/>
                    </w:rPr>
                    <w:t>Responsable</w:t>
                  </w:r>
                  <w:r>
                    <w:rPr>
                      <w:sz w:val="24"/>
                    </w:rPr>
                    <w:t>: Armada Nacional.</w:t>
                  </w:r>
                </w:p>
                <w:p w:rsidR="00840E8E" w:rsidRDefault="00840E8E" w:rsidP="00840E8E">
                  <w:pPr>
                    <w:rPr>
                      <w:sz w:val="24"/>
                    </w:rPr>
                  </w:pPr>
                </w:p>
                <w:p w:rsidR="00E45FB8" w:rsidRPr="001A2503" w:rsidRDefault="00E45FB8" w:rsidP="00E45FB8">
                  <w:pPr>
                    <w:jc w:val="both"/>
                    <w:rPr>
                      <w:sz w:val="24"/>
                    </w:rPr>
                  </w:pPr>
                  <w:r w:rsidRPr="001A2503">
                    <w:rPr>
                      <w:b/>
                      <w:sz w:val="24"/>
                    </w:rPr>
                    <w:t>*</w:t>
                  </w:r>
                  <w:r w:rsidRPr="001A2503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E45FB8" w:rsidRPr="00083412" w:rsidRDefault="00E45FB8" w:rsidP="00840E8E">
                  <w:pPr>
                    <w:rPr>
                      <w:sz w:val="24"/>
                    </w:rPr>
                  </w:pPr>
                </w:p>
              </w:txbxContent>
            </v:textbox>
            <w10:wrap type="square"/>
          </v:shape>
        </w:pict>
      </w:r>
      <w:r w:rsidRPr="000F24E2">
        <w:rPr>
          <w:b/>
          <w:noProof/>
          <w:color w:val="FF0000"/>
          <w:sz w:val="20"/>
          <w:szCs w:val="20"/>
          <w:lang w:eastAsia="es-EC"/>
        </w:rPr>
        <w:pict>
          <v:roundrect id="_x0000_s1059" style="position:absolute;left:0;text-align:left;margin-left:180pt;margin-top:5.75pt;width:153.4pt;height:21.25pt;z-index:251674624" arcsize="10923f" filled="f" strokecolor="#0070c0">
            <v:textbox style="mso-next-textbox:#_x0000_s1059">
              <w:txbxContent>
                <w:p w:rsidR="00083412" w:rsidRPr="00D925F3" w:rsidRDefault="00083412" w:rsidP="00083412">
                  <w:pPr>
                    <w:jc w:val="center"/>
                    <w:rPr>
                      <w:sz w:val="26"/>
                      <w:szCs w:val="26"/>
                    </w:rPr>
                  </w:pPr>
                  <w:r w:rsidRPr="00D925F3">
                    <w:rPr>
                      <w:b/>
                      <w:sz w:val="26"/>
                      <w:szCs w:val="26"/>
                    </w:rPr>
                    <w:t xml:space="preserve">Próximas Acciones </w:t>
                  </w:r>
                </w:p>
              </w:txbxContent>
            </v:textbox>
          </v:roundrect>
        </w:pict>
      </w:r>
    </w:p>
    <w:p w:rsidR="009D12D1" w:rsidRDefault="009D12D1" w:rsidP="00D60432">
      <w:pPr>
        <w:jc w:val="center"/>
        <w:rPr>
          <w:sz w:val="20"/>
          <w:szCs w:val="20"/>
        </w:rPr>
      </w:pPr>
    </w:p>
    <w:p w:rsidR="009D12D1" w:rsidRDefault="009D12D1" w:rsidP="00D60432">
      <w:pPr>
        <w:jc w:val="center"/>
        <w:rPr>
          <w:sz w:val="20"/>
          <w:szCs w:val="20"/>
        </w:rPr>
      </w:pPr>
    </w:p>
    <w:p w:rsidR="00DF514B" w:rsidRDefault="00DF514B" w:rsidP="00D37C3C">
      <w:pPr>
        <w:rPr>
          <w:b/>
          <w:sz w:val="20"/>
          <w:szCs w:val="20"/>
        </w:rPr>
        <w:sectPr w:rsidR="00DF514B" w:rsidSect="00DF514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304C09" w:rsidRDefault="00304C09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</w:t>
      </w:r>
    </w:p>
    <w:p w:rsidR="00304C09" w:rsidRDefault="00304C09">
      <w:pPr>
        <w:rPr>
          <w:sz w:val="20"/>
          <w:szCs w:val="20"/>
        </w:rPr>
      </w:pPr>
    </w:p>
    <w:p w:rsidR="00304C09" w:rsidRDefault="00304C09">
      <w:pPr>
        <w:rPr>
          <w:sz w:val="20"/>
          <w:szCs w:val="20"/>
        </w:rPr>
      </w:pPr>
    </w:p>
    <w:p w:rsidR="00304C09" w:rsidRDefault="00304C09">
      <w:pPr>
        <w:rPr>
          <w:sz w:val="20"/>
          <w:szCs w:val="20"/>
        </w:rPr>
      </w:pPr>
    </w:p>
    <w:p w:rsidR="00304C09" w:rsidRDefault="00304C09">
      <w:pPr>
        <w:rPr>
          <w:color w:val="FF0000"/>
          <w:sz w:val="20"/>
          <w:szCs w:val="20"/>
        </w:rPr>
      </w:pPr>
    </w:p>
    <w:p w:rsidR="00721276" w:rsidRPr="00383A75" w:rsidRDefault="00721276" w:rsidP="00721276">
      <w:pPr>
        <w:rPr>
          <w:color w:val="FF0000"/>
          <w:sz w:val="20"/>
          <w:szCs w:val="20"/>
        </w:rPr>
      </w:pPr>
    </w:p>
    <w:sectPr w:rsidR="00721276" w:rsidRPr="00383A75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726" w:rsidRDefault="004F5726" w:rsidP="00C9605A">
      <w:pPr>
        <w:spacing w:after="0" w:line="240" w:lineRule="auto"/>
      </w:pPr>
      <w:r>
        <w:separator/>
      </w:r>
    </w:p>
  </w:endnote>
  <w:endnote w:type="continuationSeparator" w:id="0">
    <w:p w:rsidR="004F5726" w:rsidRDefault="004F5726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726" w:rsidRDefault="004F5726" w:rsidP="00C9605A">
      <w:pPr>
        <w:spacing w:after="0" w:line="240" w:lineRule="auto"/>
      </w:pPr>
      <w:r>
        <w:separator/>
      </w:r>
    </w:p>
  </w:footnote>
  <w:footnote w:type="continuationSeparator" w:id="0">
    <w:p w:rsidR="004F5726" w:rsidRDefault="004F5726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19F1"/>
    <w:multiLevelType w:val="hybridMultilevel"/>
    <w:tmpl w:val="C02E2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A015F"/>
    <w:multiLevelType w:val="hybridMultilevel"/>
    <w:tmpl w:val="B56EF1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E335B"/>
    <w:multiLevelType w:val="hybridMultilevel"/>
    <w:tmpl w:val="EE5E388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45527"/>
    <w:rsid w:val="00064375"/>
    <w:rsid w:val="00066F3D"/>
    <w:rsid w:val="00073AAD"/>
    <w:rsid w:val="00083412"/>
    <w:rsid w:val="000953CC"/>
    <w:rsid w:val="000F24E2"/>
    <w:rsid w:val="00104681"/>
    <w:rsid w:val="001414D3"/>
    <w:rsid w:val="00154AC3"/>
    <w:rsid w:val="001679D0"/>
    <w:rsid w:val="001833F3"/>
    <w:rsid w:val="00186C4D"/>
    <w:rsid w:val="00195D00"/>
    <w:rsid w:val="001C6B7B"/>
    <w:rsid w:val="001E6A0E"/>
    <w:rsid w:val="002129ED"/>
    <w:rsid w:val="00231A4B"/>
    <w:rsid w:val="002667F0"/>
    <w:rsid w:val="002A6142"/>
    <w:rsid w:val="002B407F"/>
    <w:rsid w:val="00304C09"/>
    <w:rsid w:val="003323DF"/>
    <w:rsid w:val="00355AEA"/>
    <w:rsid w:val="0037023F"/>
    <w:rsid w:val="00383A75"/>
    <w:rsid w:val="003A394F"/>
    <w:rsid w:val="003F5BB6"/>
    <w:rsid w:val="004027F0"/>
    <w:rsid w:val="0040541C"/>
    <w:rsid w:val="00416C39"/>
    <w:rsid w:val="00450A0E"/>
    <w:rsid w:val="00473F1B"/>
    <w:rsid w:val="00476287"/>
    <w:rsid w:val="004C40F9"/>
    <w:rsid w:val="004F5726"/>
    <w:rsid w:val="00513642"/>
    <w:rsid w:val="00535E25"/>
    <w:rsid w:val="00564DB2"/>
    <w:rsid w:val="005D3862"/>
    <w:rsid w:val="006052D8"/>
    <w:rsid w:val="00605942"/>
    <w:rsid w:val="00634F5A"/>
    <w:rsid w:val="00635B32"/>
    <w:rsid w:val="00651B8C"/>
    <w:rsid w:val="006F4F02"/>
    <w:rsid w:val="00721276"/>
    <w:rsid w:val="0073150B"/>
    <w:rsid w:val="00743E7E"/>
    <w:rsid w:val="00787FAB"/>
    <w:rsid w:val="007D448C"/>
    <w:rsid w:val="007F29E4"/>
    <w:rsid w:val="00807B44"/>
    <w:rsid w:val="00810762"/>
    <w:rsid w:val="0081297D"/>
    <w:rsid w:val="00820976"/>
    <w:rsid w:val="00840E8E"/>
    <w:rsid w:val="00842829"/>
    <w:rsid w:val="0087219F"/>
    <w:rsid w:val="008A768C"/>
    <w:rsid w:val="00905A9A"/>
    <w:rsid w:val="00910B75"/>
    <w:rsid w:val="009157C5"/>
    <w:rsid w:val="00917186"/>
    <w:rsid w:val="00977B7A"/>
    <w:rsid w:val="0099549F"/>
    <w:rsid w:val="00995986"/>
    <w:rsid w:val="009C57FF"/>
    <w:rsid w:val="009D12D1"/>
    <w:rsid w:val="00A445E6"/>
    <w:rsid w:val="00A55021"/>
    <w:rsid w:val="00A830F9"/>
    <w:rsid w:val="00AB6D37"/>
    <w:rsid w:val="00BA03FF"/>
    <w:rsid w:val="00BA5BAF"/>
    <w:rsid w:val="00BC010D"/>
    <w:rsid w:val="00BC3A44"/>
    <w:rsid w:val="00BD002F"/>
    <w:rsid w:val="00BE52E2"/>
    <w:rsid w:val="00C2040F"/>
    <w:rsid w:val="00C92022"/>
    <w:rsid w:val="00C9605A"/>
    <w:rsid w:val="00CA1ACF"/>
    <w:rsid w:val="00D01D2D"/>
    <w:rsid w:val="00D05489"/>
    <w:rsid w:val="00D37C3C"/>
    <w:rsid w:val="00D60432"/>
    <w:rsid w:val="00D651E2"/>
    <w:rsid w:val="00D727E1"/>
    <w:rsid w:val="00D74081"/>
    <w:rsid w:val="00D86B43"/>
    <w:rsid w:val="00DF514B"/>
    <w:rsid w:val="00E125CC"/>
    <w:rsid w:val="00E1345B"/>
    <w:rsid w:val="00E262DB"/>
    <w:rsid w:val="00E3298F"/>
    <w:rsid w:val="00E45FB8"/>
    <w:rsid w:val="00E47894"/>
    <w:rsid w:val="00E728E7"/>
    <w:rsid w:val="00EA3EE9"/>
    <w:rsid w:val="00EA5AD9"/>
    <w:rsid w:val="00EB061C"/>
    <w:rsid w:val="00EC2C79"/>
    <w:rsid w:val="00EF6F06"/>
    <w:rsid w:val="00F1060F"/>
    <w:rsid w:val="00F1633D"/>
    <w:rsid w:val="00F54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ccecff"/>
      <o:colormenu v:ext="edit" fillcolor="#ccec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83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7125C-5954-4476-9D0D-8201DF9C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7</cp:revision>
  <dcterms:created xsi:type="dcterms:W3CDTF">2018-01-09T21:23:00Z</dcterms:created>
  <dcterms:modified xsi:type="dcterms:W3CDTF">2018-01-10T22:01:00Z</dcterms:modified>
</cp:coreProperties>
</file>