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98" w:rsidRPr="000B5C98" w:rsidRDefault="000B5C98" w:rsidP="000B5C98">
      <w:pPr>
        <w:jc w:val="both"/>
        <w:rPr>
          <w:rFonts w:eastAsia="Times New Roman" w:cstheme="minorHAnsi"/>
          <w:sz w:val="24"/>
          <w:szCs w:val="24"/>
          <w:lang w:eastAsia="es-EC"/>
        </w:rPr>
      </w:pPr>
      <w:r w:rsidRPr="000B5C98">
        <w:rPr>
          <w:rFonts w:eastAsia="Times New Roman" w:cstheme="minorHAnsi"/>
          <w:b/>
          <w:sz w:val="24"/>
          <w:szCs w:val="24"/>
          <w:lang w:eastAsia="es-EC"/>
        </w:rPr>
        <w:t>Líder de mesa</w:t>
      </w:r>
      <w:r>
        <w:rPr>
          <w:rFonts w:eastAsia="Times New Roman" w:cstheme="minorHAnsi"/>
          <w:b/>
          <w:sz w:val="24"/>
          <w:szCs w:val="24"/>
          <w:lang w:eastAsia="es-EC"/>
        </w:rPr>
        <w:t>:</w:t>
      </w:r>
      <w:r w:rsidRPr="000B5C98">
        <w:rPr>
          <w:rFonts w:eastAsia="Times New Roman" w:cstheme="minorHAnsi"/>
          <w:b/>
          <w:sz w:val="24"/>
          <w:szCs w:val="24"/>
          <w:lang w:eastAsia="es-EC"/>
        </w:rPr>
        <w:tab/>
      </w:r>
      <w:r w:rsidRPr="000B5C98">
        <w:rPr>
          <w:rFonts w:eastAsia="Times New Roman" w:cstheme="minorHAnsi"/>
          <w:sz w:val="24"/>
          <w:szCs w:val="24"/>
          <w:lang w:eastAsia="es-EC"/>
        </w:rPr>
        <w:t xml:space="preserve"> </w:t>
      </w:r>
      <w:r w:rsidRPr="000B5C98">
        <w:rPr>
          <w:rFonts w:eastAsia="Times New Roman" w:cstheme="minorHAnsi"/>
          <w:sz w:val="24"/>
          <w:szCs w:val="24"/>
          <w:lang w:eastAsia="es-EC"/>
        </w:rPr>
        <w:t xml:space="preserve">Marlon </w:t>
      </w:r>
      <w:r w:rsidRPr="000B5C98">
        <w:rPr>
          <w:rFonts w:eastAsia="Times New Roman" w:cstheme="minorHAnsi"/>
          <w:sz w:val="24"/>
          <w:szCs w:val="24"/>
          <w:lang w:eastAsia="es-EC"/>
        </w:rPr>
        <w:t>Martínez</w:t>
      </w:r>
      <w:r w:rsidRPr="000B5C98">
        <w:rPr>
          <w:rFonts w:eastAsia="Times New Roman" w:cstheme="minorHAnsi"/>
          <w:sz w:val="24"/>
          <w:szCs w:val="24"/>
          <w:lang w:eastAsia="es-EC"/>
        </w:rPr>
        <w:t xml:space="preserve"> </w:t>
      </w:r>
    </w:p>
    <w:p w:rsidR="000B5C98" w:rsidRPr="000B5C98" w:rsidRDefault="000B5C98" w:rsidP="000B5C98">
      <w:pPr>
        <w:jc w:val="both"/>
        <w:rPr>
          <w:rFonts w:eastAsia="Times New Roman" w:cstheme="minorHAnsi"/>
          <w:b/>
          <w:sz w:val="24"/>
          <w:szCs w:val="24"/>
          <w:lang w:eastAsia="es-EC"/>
        </w:rPr>
      </w:pPr>
      <w:proofErr w:type="spellStart"/>
      <w:r w:rsidRPr="000B5C98">
        <w:rPr>
          <w:rFonts w:eastAsia="Times New Roman" w:cstheme="minorHAnsi"/>
          <w:b/>
          <w:sz w:val="24"/>
          <w:szCs w:val="24"/>
          <w:lang w:eastAsia="es-EC"/>
        </w:rPr>
        <w:t>Sistematizador</w:t>
      </w:r>
      <w:proofErr w:type="spellEnd"/>
      <w:r>
        <w:rPr>
          <w:rFonts w:eastAsia="Times New Roman" w:cstheme="minorHAnsi"/>
          <w:b/>
          <w:sz w:val="24"/>
          <w:szCs w:val="24"/>
          <w:lang w:eastAsia="es-EC"/>
        </w:rPr>
        <w:t>:</w:t>
      </w:r>
      <w:r w:rsidRPr="000B5C98">
        <w:rPr>
          <w:rFonts w:eastAsia="Times New Roman" w:cstheme="minorHAnsi"/>
          <w:b/>
          <w:sz w:val="24"/>
          <w:szCs w:val="24"/>
          <w:lang w:eastAsia="es-EC"/>
        </w:rPr>
        <w:tab/>
      </w:r>
      <w:r w:rsidRPr="000B5C98">
        <w:rPr>
          <w:rFonts w:eastAsia="Times New Roman" w:cstheme="minorHAnsi"/>
          <w:sz w:val="24"/>
          <w:szCs w:val="24"/>
          <w:lang w:eastAsia="es-EC"/>
        </w:rPr>
        <w:t>Margarita Granda</w:t>
      </w:r>
    </w:p>
    <w:p w:rsidR="000B5C98" w:rsidRPr="000B5C98" w:rsidRDefault="000B5C98" w:rsidP="000B5C98">
      <w:pPr>
        <w:jc w:val="both"/>
        <w:rPr>
          <w:rFonts w:eastAsia="Times New Roman" w:cstheme="minorHAnsi"/>
          <w:b/>
          <w:sz w:val="24"/>
          <w:szCs w:val="24"/>
          <w:lang w:eastAsia="es-EC"/>
        </w:rPr>
      </w:pPr>
      <w:proofErr w:type="spellStart"/>
      <w:r w:rsidRPr="000B5C98">
        <w:rPr>
          <w:rFonts w:eastAsia="Times New Roman" w:cstheme="minorHAnsi"/>
          <w:b/>
          <w:sz w:val="24"/>
          <w:szCs w:val="24"/>
          <w:lang w:eastAsia="es-EC"/>
        </w:rPr>
        <w:t>Sistematizador</w:t>
      </w:r>
      <w:proofErr w:type="spellEnd"/>
      <w:r>
        <w:rPr>
          <w:rFonts w:eastAsia="Times New Roman" w:cstheme="minorHAnsi"/>
          <w:b/>
          <w:sz w:val="24"/>
          <w:szCs w:val="24"/>
          <w:lang w:eastAsia="es-EC"/>
        </w:rPr>
        <w:t>:</w:t>
      </w:r>
      <w:r w:rsidRPr="000B5C98">
        <w:rPr>
          <w:rFonts w:eastAsia="Times New Roman" w:cstheme="minorHAnsi"/>
          <w:b/>
          <w:sz w:val="24"/>
          <w:szCs w:val="24"/>
          <w:lang w:eastAsia="es-EC"/>
        </w:rPr>
        <w:tab/>
      </w:r>
      <w:proofErr w:type="spellStart"/>
      <w:r w:rsidRPr="000B5C98">
        <w:rPr>
          <w:rFonts w:eastAsia="Times New Roman" w:cstheme="minorHAnsi"/>
          <w:sz w:val="24"/>
          <w:szCs w:val="24"/>
          <w:lang w:eastAsia="es-EC"/>
        </w:rPr>
        <w:t>Marjorie</w:t>
      </w:r>
      <w:proofErr w:type="spellEnd"/>
      <w:r w:rsidRPr="000B5C98">
        <w:rPr>
          <w:rFonts w:eastAsia="Times New Roman" w:cstheme="minorHAnsi"/>
          <w:sz w:val="24"/>
          <w:szCs w:val="24"/>
          <w:lang w:eastAsia="es-EC"/>
        </w:rPr>
        <w:t xml:space="preserve"> Pucachaqui</w:t>
      </w:r>
    </w:p>
    <w:p w:rsidR="000B5C98" w:rsidRPr="000B5C98" w:rsidRDefault="000B5C98" w:rsidP="000B5C98">
      <w:pPr>
        <w:jc w:val="both"/>
        <w:rPr>
          <w:rFonts w:eastAsia="Times New Roman" w:cstheme="minorHAnsi"/>
          <w:b/>
          <w:sz w:val="24"/>
          <w:szCs w:val="24"/>
          <w:lang w:eastAsia="es-EC"/>
        </w:rPr>
      </w:pPr>
      <w:r w:rsidRPr="000B5C98">
        <w:rPr>
          <w:rFonts w:eastAsia="Times New Roman" w:cstheme="minorHAnsi"/>
          <w:b/>
          <w:sz w:val="24"/>
          <w:szCs w:val="24"/>
          <w:lang w:eastAsia="es-EC"/>
        </w:rPr>
        <w:t>Provincia</w:t>
      </w:r>
      <w:r>
        <w:rPr>
          <w:rFonts w:eastAsia="Times New Roman" w:cstheme="minorHAnsi"/>
          <w:b/>
          <w:sz w:val="24"/>
          <w:szCs w:val="24"/>
          <w:lang w:eastAsia="es-EC"/>
        </w:rPr>
        <w:t xml:space="preserve">:         </w:t>
      </w:r>
      <w:r w:rsidRPr="000B5C98">
        <w:rPr>
          <w:rFonts w:eastAsia="Times New Roman" w:cstheme="minorHAnsi"/>
          <w:b/>
          <w:sz w:val="24"/>
          <w:szCs w:val="24"/>
          <w:lang w:eastAsia="es-EC"/>
        </w:rPr>
        <w:tab/>
      </w:r>
      <w:r w:rsidRPr="000B5C98">
        <w:rPr>
          <w:rFonts w:eastAsia="Times New Roman" w:cstheme="minorHAnsi"/>
          <w:sz w:val="24"/>
          <w:szCs w:val="24"/>
          <w:lang w:eastAsia="es-EC"/>
        </w:rPr>
        <w:t>Pichincha</w:t>
      </w:r>
    </w:p>
    <w:p w:rsidR="000B5C98" w:rsidRPr="000B5C98" w:rsidRDefault="000B5C98" w:rsidP="000B5C98">
      <w:pPr>
        <w:jc w:val="both"/>
        <w:rPr>
          <w:rFonts w:eastAsia="Times New Roman" w:cstheme="minorHAnsi"/>
          <w:b/>
          <w:sz w:val="24"/>
          <w:szCs w:val="24"/>
          <w:lang w:eastAsia="es-EC"/>
        </w:rPr>
      </w:pPr>
      <w:r w:rsidRPr="000B5C98">
        <w:rPr>
          <w:rFonts w:eastAsia="Times New Roman" w:cstheme="minorHAnsi"/>
          <w:b/>
          <w:sz w:val="24"/>
          <w:szCs w:val="24"/>
          <w:lang w:eastAsia="es-EC"/>
        </w:rPr>
        <w:t>Fecha</w:t>
      </w:r>
      <w:r>
        <w:rPr>
          <w:rFonts w:eastAsia="Times New Roman" w:cstheme="minorHAnsi"/>
          <w:b/>
          <w:sz w:val="24"/>
          <w:szCs w:val="24"/>
          <w:lang w:eastAsia="es-EC"/>
        </w:rPr>
        <w:t xml:space="preserve">:      </w:t>
      </w:r>
      <w:r w:rsidRPr="000B5C98">
        <w:rPr>
          <w:rFonts w:eastAsia="Times New Roman" w:cstheme="minorHAnsi"/>
          <w:b/>
          <w:sz w:val="24"/>
          <w:szCs w:val="24"/>
          <w:lang w:eastAsia="es-EC"/>
        </w:rPr>
        <w:tab/>
      </w:r>
      <w:r>
        <w:rPr>
          <w:rFonts w:eastAsia="Times New Roman" w:cstheme="minorHAnsi"/>
          <w:b/>
          <w:sz w:val="24"/>
          <w:szCs w:val="24"/>
          <w:lang w:eastAsia="es-EC"/>
        </w:rPr>
        <w:t xml:space="preserve">            </w:t>
      </w:r>
      <w:r w:rsidRPr="000B5C98">
        <w:rPr>
          <w:rFonts w:eastAsia="Times New Roman" w:cstheme="minorHAnsi"/>
          <w:sz w:val="24"/>
          <w:szCs w:val="24"/>
          <w:lang w:eastAsia="es-EC"/>
        </w:rPr>
        <w:t>15/05/2018</w:t>
      </w:r>
    </w:p>
    <w:p w:rsidR="000B5C98" w:rsidRPr="000B5C98" w:rsidRDefault="000B5C98" w:rsidP="000B5C98">
      <w:pPr>
        <w:jc w:val="both"/>
        <w:rPr>
          <w:rFonts w:eastAsia="Times New Roman" w:cstheme="minorHAnsi"/>
          <w:b/>
          <w:sz w:val="24"/>
          <w:szCs w:val="24"/>
          <w:lang w:eastAsia="es-EC"/>
        </w:rPr>
      </w:pPr>
      <w:r w:rsidRPr="000B5C98">
        <w:rPr>
          <w:rFonts w:eastAsia="Times New Roman" w:cstheme="minorHAnsi"/>
          <w:b/>
          <w:sz w:val="24"/>
          <w:szCs w:val="24"/>
          <w:lang w:eastAsia="es-EC"/>
        </w:rPr>
        <w:t>Grupo</w:t>
      </w:r>
      <w:r>
        <w:rPr>
          <w:rFonts w:eastAsia="Times New Roman" w:cstheme="minorHAnsi"/>
          <w:b/>
          <w:sz w:val="24"/>
          <w:szCs w:val="24"/>
          <w:lang w:eastAsia="es-EC"/>
        </w:rPr>
        <w:t xml:space="preserve"> </w:t>
      </w:r>
      <w:r w:rsidRPr="000B5C98">
        <w:rPr>
          <w:rFonts w:eastAsia="Times New Roman" w:cstheme="minorHAnsi"/>
          <w:b/>
          <w:sz w:val="24"/>
          <w:szCs w:val="24"/>
          <w:lang w:eastAsia="es-EC"/>
        </w:rPr>
        <w:tab/>
      </w:r>
      <w:r>
        <w:rPr>
          <w:rFonts w:eastAsia="Times New Roman" w:cstheme="minorHAnsi"/>
          <w:b/>
          <w:sz w:val="24"/>
          <w:szCs w:val="24"/>
          <w:lang w:eastAsia="es-EC"/>
        </w:rPr>
        <w:t xml:space="preserve">                        </w:t>
      </w:r>
      <w:r w:rsidRPr="000B5C98">
        <w:rPr>
          <w:rFonts w:eastAsia="Times New Roman" w:cstheme="minorHAnsi"/>
          <w:sz w:val="24"/>
          <w:szCs w:val="24"/>
          <w:lang w:eastAsia="es-EC"/>
        </w:rPr>
        <w:t>Comercio</w:t>
      </w:r>
    </w:p>
    <w:p w:rsidR="000B5C98" w:rsidRDefault="000B5C98" w:rsidP="00A87A1E">
      <w:pPr>
        <w:jc w:val="center"/>
        <w:rPr>
          <w:rFonts w:eastAsia="Times New Roman" w:cstheme="minorHAnsi"/>
          <w:b/>
          <w:sz w:val="24"/>
          <w:szCs w:val="24"/>
          <w:lang w:eastAsia="es-EC"/>
        </w:rPr>
      </w:pPr>
    </w:p>
    <w:p w:rsidR="000B5C98" w:rsidRPr="000B5C98" w:rsidRDefault="000B5C98" w:rsidP="00A87A1E">
      <w:pPr>
        <w:jc w:val="center"/>
        <w:rPr>
          <w:rFonts w:eastAsia="Times New Roman" w:cstheme="minorHAnsi"/>
          <w:b/>
          <w:sz w:val="24"/>
          <w:szCs w:val="24"/>
          <w:lang w:eastAsia="es-EC"/>
        </w:rPr>
      </w:pPr>
      <w:r w:rsidRPr="000B5C98">
        <w:rPr>
          <w:rFonts w:eastAsia="Times New Roman" w:cstheme="minorHAnsi"/>
          <w:b/>
          <w:sz w:val="24"/>
          <w:szCs w:val="24"/>
          <w:lang w:eastAsia="es-EC"/>
        </w:rPr>
        <w:t xml:space="preserve">INFORME </w:t>
      </w:r>
    </w:p>
    <w:p w:rsidR="000B55A3" w:rsidRPr="000B5C98" w:rsidRDefault="00A87A1E" w:rsidP="00A87A1E">
      <w:pPr>
        <w:jc w:val="center"/>
        <w:rPr>
          <w:b/>
          <w:sz w:val="24"/>
          <w:szCs w:val="24"/>
        </w:rPr>
      </w:pPr>
      <w:r w:rsidRPr="000B5C98">
        <w:rPr>
          <w:b/>
          <w:sz w:val="24"/>
          <w:szCs w:val="24"/>
        </w:rPr>
        <w:t>PRÓXIMAS ACCIONES</w:t>
      </w:r>
    </w:p>
    <w:p w:rsidR="000B55A3" w:rsidRPr="000B55A3" w:rsidRDefault="000B55A3" w:rsidP="000B55A3">
      <w:pPr>
        <w:jc w:val="both"/>
        <w:rPr>
          <w:b/>
          <w:sz w:val="28"/>
          <w:szCs w:val="24"/>
        </w:rPr>
      </w:pPr>
    </w:p>
    <w:p w:rsidR="000B55A3" w:rsidRPr="00A87A1E" w:rsidRDefault="000B55A3" w:rsidP="000B55A3">
      <w:pPr>
        <w:pStyle w:val="Prrafodelista"/>
        <w:numPr>
          <w:ilvl w:val="0"/>
          <w:numId w:val="1"/>
        </w:numPr>
        <w:jc w:val="both"/>
        <w:rPr>
          <w:sz w:val="24"/>
        </w:rPr>
      </w:pPr>
      <w:r w:rsidRPr="000B55A3">
        <w:rPr>
          <w:sz w:val="24"/>
        </w:rPr>
        <w:t xml:space="preserve">Normativa crediticia para el sector tecnológico de tal manera que las garantías tomadas en cuenta puedan ser  de  bienes intangibles  con el fin de mejorar el acceso al crédito de este sector y mejorar la productividad del mismo. </w:t>
      </w:r>
      <w:r w:rsidRPr="000B55A3">
        <w:rPr>
          <w:b/>
          <w:sz w:val="24"/>
        </w:rPr>
        <w:t>Responsable</w:t>
      </w:r>
      <w:r w:rsidRPr="000B55A3">
        <w:rPr>
          <w:sz w:val="24"/>
        </w:rPr>
        <w:t>: CFN</w:t>
      </w:r>
      <w:r w:rsidR="00A87A1E">
        <w:rPr>
          <w:b/>
          <w:sz w:val="24"/>
        </w:rPr>
        <w:t>.</w:t>
      </w:r>
    </w:p>
    <w:p w:rsidR="00A87A1E" w:rsidRPr="000B55A3" w:rsidRDefault="00A87A1E" w:rsidP="00A87A1E">
      <w:pPr>
        <w:pStyle w:val="Prrafodelista"/>
        <w:ind w:left="644"/>
        <w:jc w:val="both"/>
        <w:rPr>
          <w:sz w:val="24"/>
        </w:rPr>
      </w:pPr>
    </w:p>
    <w:p w:rsidR="00A87A1E" w:rsidRDefault="000B55A3" w:rsidP="00A87A1E">
      <w:pPr>
        <w:pStyle w:val="Prrafodelista"/>
        <w:numPr>
          <w:ilvl w:val="0"/>
          <w:numId w:val="1"/>
        </w:numPr>
        <w:jc w:val="both"/>
        <w:rPr>
          <w:sz w:val="24"/>
        </w:rPr>
      </w:pPr>
      <w:r w:rsidRPr="000B55A3">
        <w:rPr>
          <w:sz w:val="24"/>
        </w:rPr>
        <w:t xml:space="preserve">Igualdad de obligaciones del sector público y privado para que sean igualitarias y se pueda dar una disminución de los aranceles y los costos de producción.  </w:t>
      </w:r>
      <w:r w:rsidRPr="000B55A3">
        <w:rPr>
          <w:b/>
          <w:sz w:val="24"/>
        </w:rPr>
        <w:t>Responsable</w:t>
      </w:r>
      <w:r w:rsidRPr="000B55A3">
        <w:rPr>
          <w:sz w:val="24"/>
        </w:rPr>
        <w:t>: SRI.</w:t>
      </w:r>
    </w:p>
    <w:p w:rsidR="00A87A1E" w:rsidRPr="00A87A1E" w:rsidRDefault="00A87A1E" w:rsidP="00A87A1E">
      <w:pPr>
        <w:pStyle w:val="Prrafodelista"/>
        <w:rPr>
          <w:sz w:val="24"/>
        </w:rPr>
      </w:pPr>
    </w:p>
    <w:p w:rsidR="00A87A1E" w:rsidRPr="00A87A1E" w:rsidRDefault="00A87A1E" w:rsidP="00A87A1E">
      <w:pPr>
        <w:pStyle w:val="Prrafodelista"/>
        <w:ind w:left="644"/>
        <w:jc w:val="both"/>
        <w:rPr>
          <w:sz w:val="24"/>
        </w:rPr>
      </w:pPr>
    </w:p>
    <w:p w:rsidR="000B55A3" w:rsidRDefault="000B55A3" w:rsidP="00A87A1E">
      <w:pPr>
        <w:pStyle w:val="Prrafodelista"/>
        <w:numPr>
          <w:ilvl w:val="0"/>
          <w:numId w:val="1"/>
        </w:numPr>
        <w:jc w:val="both"/>
        <w:rPr>
          <w:sz w:val="24"/>
        </w:rPr>
      </w:pPr>
      <w:r w:rsidRPr="000B55A3">
        <w:rPr>
          <w:sz w:val="24"/>
        </w:rPr>
        <w:t xml:space="preserve">Reducción de tasa de interés para la comercialización de productos en línea con el fin de dinamizar el comercio electrónico </w:t>
      </w:r>
      <w:r w:rsidRPr="000B55A3">
        <w:rPr>
          <w:b/>
          <w:sz w:val="24"/>
        </w:rPr>
        <w:t>Responsable</w:t>
      </w:r>
      <w:r w:rsidRPr="000B55A3">
        <w:rPr>
          <w:sz w:val="24"/>
        </w:rPr>
        <w:t>: MINFIN, SRI.</w:t>
      </w:r>
    </w:p>
    <w:p w:rsidR="00A87A1E" w:rsidRPr="00A87A1E" w:rsidRDefault="00A87A1E" w:rsidP="00A87A1E">
      <w:pPr>
        <w:pStyle w:val="Prrafodelista"/>
        <w:ind w:left="644"/>
        <w:jc w:val="both"/>
        <w:rPr>
          <w:sz w:val="24"/>
        </w:rPr>
      </w:pPr>
    </w:p>
    <w:p w:rsidR="000B55A3" w:rsidRPr="00A87A1E" w:rsidRDefault="000B55A3" w:rsidP="00A87A1E">
      <w:pPr>
        <w:pStyle w:val="Prrafodelista"/>
        <w:numPr>
          <w:ilvl w:val="0"/>
          <w:numId w:val="1"/>
        </w:numPr>
        <w:jc w:val="both"/>
        <w:rPr>
          <w:sz w:val="24"/>
        </w:rPr>
      </w:pPr>
      <w:r w:rsidRPr="000B55A3">
        <w:rPr>
          <w:sz w:val="24"/>
        </w:rPr>
        <w:t xml:space="preserve">Gestionar garantías de 1 a 2 años hasta que la empresa logre estabilizarse en el mercado </w:t>
      </w:r>
      <w:r w:rsidRPr="000B55A3">
        <w:rPr>
          <w:b/>
          <w:sz w:val="24"/>
        </w:rPr>
        <w:t>Responsable</w:t>
      </w:r>
      <w:r w:rsidRPr="000B55A3">
        <w:rPr>
          <w:sz w:val="24"/>
        </w:rPr>
        <w:t>s: FOGEPS, BANECUADOR B.P, BANCO DEL PACÍFICO, CFN B.P.</w:t>
      </w:r>
    </w:p>
    <w:p w:rsidR="000B55A3" w:rsidRDefault="000B55A3" w:rsidP="00A87A1E">
      <w:pPr>
        <w:pStyle w:val="Prrafodelista"/>
        <w:numPr>
          <w:ilvl w:val="0"/>
          <w:numId w:val="1"/>
        </w:numPr>
        <w:jc w:val="both"/>
        <w:rPr>
          <w:sz w:val="24"/>
        </w:rPr>
      </w:pPr>
      <w:r w:rsidRPr="000B55A3">
        <w:rPr>
          <w:sz w:val="24"/>
        </w:rPr>
        <w:t xml:space="preserve">Crear un sistema de compensación de pagos, o compras de  los Comprobantes Únicos de Registro (CURS) de Transferencia o Pago, para cruzar las deudas entre empresa privada y </w:t>
      </w:r>
      <w:r w:rsidR="00A87A1E" w:rsidRPr="000B55A3">
        <w:rPr>
          <w:sz w:val="24"/>
        </w:rPr>
        <w:t xml:space="preserve">Estado. </w:t>
      </w:r>
      <w:r w:rsidRPr="000B55A3">
        <w:rPr>
          <w:b/>
          <w:sz w:val="24"/>
        </w:rPr>
        <w:t>Responsable</w:t>
      </w:r>
      <w:r w:rsidRPr="000B55A3">
        <w:rPr>
          <w:sz w:val="24"/>
        </w:rPr>
        <w:t>: MINFIN, SRI.</w:t>
      </w:r>
    </w:p>
    <w:p w:rsidR="00A87A1E" w:rsidRPr="00A87A1E" w:rsidRDefault="00A87A1E" w:rsidP="00A87A1E">
      <w:pPr>
        <w:pStyle w:val="Prrafodelista"/>
        <w:ind w:left="644"/>
        <w:jc w:val="both"/>
        <w:rPr>
          <w:sz w:val="24"/>
        </w:rPr>
      </w:pPr>
    </w:p>
    <w:p w:rsidR="000B55A3" w:rsidRDefault="000B55A3" w:rsidP="00A87A1E">
      <w:pPr>
        <w:pStyle w:val="Prrafodelista"/>
        <w:numPr>
          <w:ilvl w:val="0"/>
          <w:numId w:val="1"/>
        </w:numPr>
        <w:jc w:val="both"/>
        <w:rPr>
          <w:sz w:val="24"/>
        </w:rPr>
      </w:pPr>
      <w:r w:rsidRPr="000B55A3">
        <w:rPr>
          <w:sz w:val="24"/>
        </w:rPr>
        <w:t xml:space="preserve">Ajustar la legislación para reducir costos de los permisos y flujos de trámite con el fin de que el mercado en el cual se realizan las transacciones de compra y venta sea más eficiente. </w:t>
      </w:r>
      <w:r w:rsidRPr="000B55A3">
        <w:rPr>
          <w:b/>
          <w:sz w:val="24"/>
        </w:rPr>
        <w:t>Responsable:</w:t>
      </w:r>
      <w:r w:rsidRPr="000B55A3">
        <w:rPr>
          <w:sz w:val="24"/>
        </w:rPr>
        <w:t xml:space="preserve"> SRI, ADUANA.</w:t>
      </w:r>
    </w:p>
    <w:p w:rsidR="00A87A1E" w:rsidRPr="00A87A1E" w:rsidRDefault="00A87A1E" w:rsidP="00A87A1E">
      <w:pPr>
        <w:pStyle w:val="Prrafodelista"/>
        <w:ind w:left="644"/>
        <w:jc w:val="both"/>
        <w:rPr>
          <w:sz w:val="24"/>
        </w:rPr>
      </w:pPr>
    </w:p>
    <w:p w:rsidR="000B55A3" w:rsidRDefault="000B55A3" w:rsidP="00A87A1E">
      <w:pPr>
        <w:pStyle w:val="Prrafodelista"/>
        <w:numPr>
          <w:ilvl w:val="0"/>
          <w:numId w:val="1"/>
        </w:numPr>
        <w:jc w:val="both"/>
        <w:rPr>
          <w:sz w:val="24"/>
        </w:rPr>
      </w:pPr>
      <w:r w:rsidRPr="000B55A3">
        <w:rPr>
          <w:sz w:val="24"/>
        </w:rPr>
        <w:t xml:space="preserve">Revisión de legislación para que el productor y/o empresario pueda realizar sus actividades de manera exitosa y pueda  acceder a distintas líneas de crédito. </w:t>
      </w:r>
      <w:r w:rsidRPr="000B55A3">
        <w:rPr>
          <w:b/>
          <w:sz w:val="24"/>
        </w:rPr>
        <w:t xml:space="preserve">Responsable: </w:t>
      </w:r>
      <w:r w:rsidRPr="000B55A3">
        <w:rPr>
          <w:sz w:val="24"/>
        </w:rPr>
        <w:t xml:space="preserve">MINFIN, BANECUADOR </w:t>
      </w:r>
      <w:r w:rsidR="00A87A1E" w:rsidRPr="000B55A3">
        <w:rPr>
          <w:sz w:val="24"/>
        </w:rPr>
        <w:t>B.P,</w:t>
      </w:r>
      <w:r w:rsidRPr="000B55A3">
        <w:rPr>
          <w:sz w:val="24"/>
        </w:rPr>
        <w:t xml:space="preserve"> BANCO DEL PACÍFICO, CFN B.P.</w:t>
      </w:r>
    </w:p>
    <w:p w:rsidR="00A87A1E" w:rsidRPr="00A87A1E" w:rsidRDefault="00A87A1E" w:rsidP="00A87A1E">
      <w:pPr>
        <w:pStyle w:val="Prrafodelista"/>
        <w:ind w:left="644"/>
        <w:jc w:val="both"/>
        <w:rPr>
          <w:sz w:val="24"/>
        </w:rPr>
      </w:pPr>
    </w:p>
    <w:p w:rsidR="00BD19AD" w:rsidRPr="00A87A1E" w:rsidRDefault="000B55A3" w:rsidP="00A87A1E">
      <w:pPr>
        <w:pStyle w:val="Prrafodelista"/>
        <w:numPr>
          <w:ilvl w:val="0"/>
          <w:numId w:val="1"/>
        </w:numPr>
        <w:jc w:val="both"/>
        <w:rPr>
          <w:b/>
          <w:sz w:val="24"/>
        </w:rPr>
      </w:pPr>
      <w:r w:rsidRPr="000B55A3">
        <w:rPr>
          <w:sz w:val="24"/>
        </w:rPr>
        <w:t xml:space="preserve">Realizar un estudio entre el Servicio de Rentas Internas y el Ministerio de Comercio Exterior disminuir el valor exigido por el envió de muestras </w:t>
      </w:r>
      <w:r w:rsidR="00A87A1E" w:rsidRPr="000B55A3">
        <w:rPr>
          <w:sz w:val="24"/>
        </w:rPr>
        <w:t>(productos</w:t>
      </w:r>
      <w:r w:rsidRPr="000B55A3">
        <w:rPr>
          <w:sz w:val="24"/>
        </w:rPr>
        <w:t xml:space="preserve"> elaborados a nivel nacional). </w:t>
      </w:r>
      <w:r w:rsidRPr="000B55A3">
        <w:rPr>
          <w:b/>
          <w:sz w:val="24"/>
        </w:rPr>
        <w:t xml:space="preserve">Responsable: </w:t>
      </w:r>
      <w:r w:rsidRPr="00A87A1E">
        <w:rPr>
          <w:sz w:val="24"/>
        </w:rPr>
        <w:t>MCE, SENAE, SRI.</w:t>
      </w:r>
    </w:p>
    <w:sectPr w:rsidR="00BD19AD" w:rsidRPr="00A87A1E" w:rsidSect="00BD19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E335B"/>
    <w:multiLevelType w:val="hybridMultilevel"/>
    <w:tmpl w:val="EE5E3886"/>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55A3"/>
    <w:rsid w:val="000B55A3"/>
    <w:rsid w:val="000B5C98"/>
    <w:rsid w:val="004D2468"/>
    <w:rsid w:val="007C473C"/>
    <w:rsid w:val="00A87A1E"/>
    <w:rsid w:val="00B814AE"/>
    <w:rsid w:val="00BD19AD"/>
    <w:rsid w:val="00E133C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5A3"/>
    <w:pPr>
      <w:ind w:left="720"/>
      <w:contextualSpacing/>
    </w:pPr>
  </w:style>
</w:styles>
</file>

<file path=word/webSettings.xml><?xml version="1.0" encoding="utf-8"?>
<w:webSettings xmlns:r="http://schemas.openxmlformats.org/officeDocument/2006/relationships" xmlns:w="http://schemas.openxmlformats.org/wordprocessingml/2006/main">
  <w:divs>
    <w:div w:id="4746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282</Words>
  <Characters>1551</Characters>
  <Application>Microsoft Office Word</Application>
  <DocSecurity>0</DocSecurity>
  <Lines>12</Lines>
  <Paragraphs>3</Paragraphs>
  <ScaleCrop>false</ScaleCrop>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mgranda</cp:lastModifiedBy>
  <cp:revision>5</cp:revision>
  <cp:lastPrinted>2018-05-18T20:11:00Z</cp:lastPrinted>
  <dcterms:created xsi:type="dcterms:W3CDTF">2018-05-18T18:14:00Z</dcterms:created>
  <dcterms:modified xsi:type="dcterms:W3CDTF">2018-05-18T20:51:00Z</dcterms:modified>
</cp:coreProperties>
</file>