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4EE" w:rsidRPr="00E62300" w:rsidRDefault="00216EE4" w:rsidP="00E62300">
      <w:pPr>
        <w:spacing w:line="240" w:lineRule="auto"/>
        <w:jc w:val="center"/>
        <w:rPr>
          <w:rFonts w:ascii="Times New Roman" w:hAnsi="Times New Roman" w:cs="Times New Roman"/>
          <w:b/>
        </w:rPr>
      </w:pPr>
      <w:r w:rsidRPr="00E62300">
        <w:rPr>
          <w:rFonts w:ascii="Times New Roman" w:hAnsi="Times New Roman" w:cs="Times New Roman"/>
          <w:b/>
        </w:rPr>
        <w:t xml:space="preserve">Proceso de contratación de un Operador para las </w:t>
      </w:r>
      <w:r w:rsidR="009B483B" w:rsidRPr="00E62300">
        <w:rPr>
          <w:rFonts w:ascii="Times New Roman" w:hAnsi="Times New Roman" w:cs="Times New Roman"/>
          <w:b/>
        </w:rPr>
        <w:t>Etapas de Pre-inversión e Inversión del “Programa Mipymes” del Componente Capital Semilla.</w:t>
      </w:r>
    </w:p>
    <w:p w:rsidR="00DE0CD9" w:rsidRPr="00E62300" w:rsidRDefault="00DE0CD9" w:rsidP="00E62300">
      <w:pPr>
        <w:spacing w:line="240" w:lineRule="auto"/>
        <w:jc w:val="both"/>
        <w:rPr>
          <w:rFonts w:ascii="Times New Roman" w:hAnsi="Times New Roman" w:cs="Times New Roman"/>
          <w:b/>
        </w:rPr>
      </w:pPr>
    </w:p>
    <w:p w:rsidR="009B483B" w:rsidRPr="00E62300" w:rsidRDefault="009B483B" w:rsidP="00E62300">
      <w:pPr>
        <w:suppressAutoHyphens/>
        <w:autoSpaceDE w:val="0"/>
        <w:autoSpaceDN w:val="0"/>
        <w:adjustRightInd w:val="0"/>
        <w:spacing w:line="240" w:lineRule="auto"/>
        <w:jc w:val="both"/>
        <w:rPr>
          <w:rFonts w:ascii="Times New Roman" w:hAnsi="Times New Roman" w:cs="Times New Roman"/>
          <w:lang w:val="es-MX" w:eastAsia="es-EC"/>
        </w:rPr>
      </w:pPr>
      <w:r w:rsidRPr="00E62300">
        <w:rPr>
          <w:rFonts w:ascii="Times New Roman" w:hAnsi="Times New Roman" w:cs="Times New Roman"/>
          <w:b/>
        </w:rPr>
        <w:t>Objetivo General:</w:t>
      </w:r>
      <w:r w:rsidRPr="00E62300">
        <w:rPr>
          <w:rFonts w:ascii="Times New Roman" w:hAnsi="Times New Roman" w:cs="Times New Roman"/>
          <w:lang w:eastAsia="es-EC"/>
        </w:rPr>
        <w:t xml:space="preserve"> G</w:t>
      </w:r>
      <w:proofErr w:type="spellStart"/>
      <w:r w:rsidRPr="00E62300">
        <w:rPr>
          <w:rFonts w:ascii="Times New Roman" w:hAnsi="Times New Roman" w:cs="Times New Roman"/>
          <w:lang w:val="es-MX" w:eastAsia="es-EC"/>
        </w:rPr>
        <w:t>enerar</w:t>
      </w:r>
      <w:proofErr w:type="spellEnd"/>
      <w:r w:rsidRPr="00E62300">
        <w:rPr>
          <w:rFonts w:ascii="Times New Roman" w:hAnsi="Times New Roman" w:cs="Times New Roman"/>
          <w:lang w:val="es-MX" w:eastAsia="es-EC"/>
        </w:rPr>
        <w:t xml:space="preserve"> un portafolio de emprendimientos innovadores con potencial de desarrollo y crecimiento dinámico, mediante la difusión dirigida del “Programa Mipymes”, así como de la asistencia técnica específica, evaluación de proyectos, y determinación de la factibilidad de inversión, con el fin de maximizar la colocación de los recursos y minimizar el riesgo de las inversiones del Fideicomiso Fondo de Capital de Riesgo.</w:t>
      </w:r>
    </w:p>
    <w:p w:rsidR="00DE0CD9" w:rsidRPr="00E62300" w:rsidRDefault="00DE0CD9" w:rsidP="00E62300">
      <w:pPr>
        <w:spacing w:line="240" w:lineRule="auto"/>
        <w:jc w:val="both"/>
        <w:rPr>
          <w:rFonts w:ascii="Times New Roman" w:hAnsi="Times New Roman" w:cs="Times New Roman"/>
          <w:b/>
        </w:rPr>
      </w:pPr>
      <w:r w:rsidRPr="00E62300">
        <w:rPr>
          <w:rFonts w:ascii="Times New Roman" w:hAnsi="Times New Roman" w:cs="Times New Roman"/>
          <w:b/>
        </w:rPr>
        <w:t>Objetivos Específicos:</w:t>
      </w:r>
    </w:p>
    <w:p w:rsidR="00DE0CD9" w:rsidRPr="00E62300" w:rsidRDefault="00665D14" w:rsidP="00E62300">
      <w:pPr>
        <w:pStyle w:val="NormalWeb"/>
        <w:widowControl/>
        <w:numPr>
          <w:ilvl w:val="0"/>
          <w:numId w:val="1"/>
        </w:numPr>
        <w:suppressAutoHyphens w:val="0"/>
        <w:jc w:val="both"/>
        <w:rPr>
          <w:rFonts w:eastAsiaTheme="minorHAnsi"/>
          <w:kern w:val="0"/>
          <w:sz w:val="22"/>
          <w:szCs w:val="22"/>
          <w:lang w:val="es-MX" w:eastAsia="es-EC"/>
        </w:rPr>
      </w:pPr>
      <w:r w:rsidRPr="00E62300">
        <w:rPr>
          <w:rFonts w:eastAsiaTheme="minorHAnsi"/>
          <w:kern w:val="0"/>
          <w:sz w:val="22"/>
          <w:szCs w:val="22"/>
          <w:lang w:val="es-MX" w:eastAsia="es-EC"/>
        </w:rPr>
        <w:t xml:space="preserve">Desarrollar y ejecutar </w:t>
      </w:r>
      <w:r w:rsidR="00DE0CD9" w:rsidRPr="00E62300">
        <w:rPr>
          <w:rFonts w:eastAsiaTheme="minorHAnsi"/>
          <w:kern w:val="0"/>
          <w:sz w:val="22"/>
          <w:szCs w:val="22"/>
          <w:lang w:val="es-MX" w:eastAsia="es-EC"/>
        </w:rPr>
        <w:t xml:space="preserve">un plan de difusión, comunicación, y promoción dirigida del “Programa Mipymes” del Componente Capital Semilla del Fideicomiso Fondo de Capital de Riesgo, para generar demanda a nivel nacional de las Mipymes que cuenten con emprendimientos innovadores listos o deseen desarrollar proyectos en las industrias de interés del programa. </w:t>
      </w:r>
    </w:p>
    <w:p w:rsidR="00DE0CD9" w:rsidRPr="00E62300" w:rsidRDefault="00DE0CD9" w:rsidP="00E62300">
      <w:pPr>
        <w:pStyle w:val="NormalWeb"/>
        <w:widowControl/>
        <w:numPr>
          <w:ilvl w:val="0"/>
          <w:numId w:val="1"/>
        </w:numPr>
        <w:suppressAutoHyphens w:val="0"/>
        <w:spacing w:before="0" w:after="0"/>
        <w:jc w:val="both"/>
        <w:rPr>
          <w:rFonts w:eastAsiaTheme="minorHAnsi"/>
          <w:kern w:val="0"/>
          <w:sz w:val="22"/>
          <w:szCs w:val="22"/>
          <w:lang w:val="es-MX" w:eastAsia="es-EC"/>
        </w:rPr>
      </w:pPr>
      <w:r w:rsidRPr="00E62300">
        <w:rPr>
          <w:rFonts w:eastAsiaTheme="minorHAnsi"/>
          <w:kern w:val="0"/>
          <w:sz w:val="22"/>
          <w:szCs w:val="22"/>
          <w:lang w:val="es-MX" w:eastAsia="es-EC"/>
        </w:rPr>
        <w:t xml:space="preserve">Preseleccionar los emprendimientos innovadores que cumplan los criterios establecidos en las bases del “Programa Mipymes”, mediante la verificación de la información </w:t>
      </w:r>
      <w:r w:rsidR="009F55C2" w:rsidRPr="00E62300">
        <w:rPr>
          <w:rFonts w:eastAsiaTheme="minorHAnsi"/>
          <w:kern w:val="0"/>
          <w:sz w:val="22"/>
          <w:szCs w:val="22"/>
          <w:lang w:val="es-MX" w:eastAsia="es-EC"/>
        </w:rPr>
        <w:t xml:space="preserve">requerida a través de la Plataforma del Banco de Ideas, </w:t>
      </w:r>
      <w:r w:rsidRPr="00E62300">
        <w:rPr>
          <w:rFonts w:eastAsiaTheme="minorHAnsi"/>
          <w:kern w:val="0"/>
          <w:sz w:val="22"/>
          <w:szCs w:val="22"/>
          <w:lang w:val="es-MX" w:eastAsia="es-EC"/>
        </w:rPr>
        <w:t>para identificar los proyectos que cont</w:t>
      </w:r>
      <w:r w:rsidR="00902E68" w:rsidRPr="00E62300">
        <w:rPr>
          <w:rFonts w:eastAsiaTheme="minorHAnsi"/>
          <w:kern w:val="0"/>
          <w:sz w:val="22"/>
          <w:szCs w:val="22"/>
          <w:lang w:val="es-MX" w:eastAsia="es-EC"/>
        </w:rPr>
        <w:t>inuarán con la fase de evaluación</w:t>
      </w:r>
      <w:r w:rsidRPr="00E62300">
        <w:rPr>
          <w:rFonts w:eastAsiaTheme="minorHAnsi"/>
          <w:kern w:val="0"/>
          <w:sz w:val="22"/>
          <w:szCs w:val="22"/>
          <w:lang w:val="es-MX" w:eastAsia="es-EC"/>
        </w:rPr>
        <w:t>.</w:t>
      </w:r>
    </w:p>
    <w:p w:rsidR="009F55C2" w:rsidRPr="00E62300" w:rsidRDefault="009F55C2" w:rsidP="00E62300">
      <w:pPr>
        <w:pStyle w:val="NormalWeb"/>
        <w:widowControl/>
        <w:suppressAutoHyphens w:val="0"/>
        <w:spacing w:before="0" w:after="0"/>
        <w:ind w:left="360"/>
        <w:jc w:val="both"/>
        <w:rPr>
          <w:rFonts w:eastAsiaTheme="minorHAnsi"/>
          <w:kern w:val="0"/>
          <w:sz w:val="22"/>
          <w:szCs w:val="22"/>
          <w:lang w:val="es-MX" w:eastAsia="es-EC"/>
        </w:rPr>
      </w:pPr>
    </w:p>
    <w:p w:rsidR="00DE0CD9" w:rsidRPr="00E62300" w:rsidRDefault="00DE0CD9" w:rsidP="00E62300">
      <w:pPr>
        <w:pStyle w:val="Default"/>
        <w:numPr>
          <w:ilvl w:val="0"/>
          <w:numId w:val="1"/>
        </w:numPr>
        <w:jc w:val="both"/>
        <w:rPr>
          <w:rFonts w:eastAsiaTheme="minorHAnsi"/>
          <w:color w:val="auto"/>
          <w:sz w:val="22"/>
          <w:szCs w:val="22"/>
          <w:lang w:val="es-MX"/>
        </w:rPr>
      </w:pPr>
      <w:r w:rsidRPr="00E62300">
        <w:rPr>
          <w:rFonts w:eastAsiaTheme="minorHAnsi"/>
          <w:color w:val="auto"/>
          <w:sz w:val="22"/>
          <w:szCs w:val="22"/>
          <w:lang w:val="es-MX"/>
        </w:rPr>
        <w:t>Brindar asesoría técnica especializada de acuerdo al concepto de negocio del emprendimiento innovador, proporcionando a los postulantes la información suficiente y de calidad que les permita desarrollar y/o fortalecer su proyecto y correspondiente plan de negocios.</w:t>
      </w:r>
    </w:p>
    <w:p w:rsidR="000B298C" w:rsidRPr="00E62300" w:rsidRDefault="000B298C" w:rsidP="00E62300">
      <w:pPr>
        <w:pStyle w:val="Default"/>
        <w:jc w:val="both"/>
        <w:rPr>
          <w:rFonts w:eastAsiaTheme="minorHAnsi"/>
          <w:color w:val="auto"/>
          <w:sz w:val="22"/>
          <w:szCs w:val="22"/>
          <w:lang w:val="es-MX"/>
        </w:rPr>
      </w:pPr>
    </w:p>
    <w:p w:rsidR="002C4B9D" w:rsidRPr="00E62300" w:rsidRDefault="00D461D3" w:rsidP="00E62300">
      <w:pPr>
        <w:pStyle w:val="Default"/>
        <w:numPr>
          <w:ilvl w:val="0"/>
          <w:numId w:val="1"/>
        </w:numPr>
        <w:jc w:val="both"/>
        <w:rPr>
          <w:rFonts w:eastAsiaTheme="minorHAnsi"/>
          <w:color w:val="auto"/>
          <w:sz w:val="22"/>
          <w:szCs w:val="22"/>
          <w:lang w:val="es-MX"/>
        </w:rPr>
      </w:pPr>
      <w:r w:rsidRPr="00E62300">
        <w:rPr>
          <w:rFonts w:eastAsiaTheme="minorHAnsi"/>
          <w:color w:val="auto"/>
          <w:sz w:val="22"/>
          <w:szCs w:val="22"/>
          <w:lang w:val="es-MX"/>
        </w:rPr>
        <w:t>Evaluar y establecer</w:t>
      </w:r>
      <w:r w:rsidR="00DE0CD9" w:rsidRPr="00E62300">
        <w:rPr>
          <w:rFonts w:eastAsiaTheme="minorHAnsi"/>
          <w:color w:val="auto"/>
          <w:sz w:val="22"/>
          <w:szCs w:val="22"/>
          <w:lang w:val="es-MX"/>
        </w:rPr>
        <w:t xml:space="preserve"> la factibilidad de inversión de los emprendimientos innovadores, mediante la elaboración </w:t>
      </w:r>
      <w:r w:rsidR="00D0270E" w:rsidRPr="00E62300">
        <w:rPr>
          <w:rFonts w:eastAsiaTheme="minorHAnsi"/>
          <w:color w:val="auto"/>
          <w:sz w:val="22"/>
          <w:szCs w:val="22"/>
          <w:lang w:val="es-MX"/>
        </w:rPr>
        <w:t xml:space="preserve">y presentación </w:t>
      </w:r>
      <w:r w:rsidR="00DE0CD9" w:rsidRPr="00E62300">
        <w:rPr>
          <w:rFonts w:eastAsiaTheme="minorHAnsi"/>
          <w:color w:val="auto"/>
          <w:sz w:val="22"/>
          <w:szCs w:val="22"/>
          <w:lang w:val="es-MX"/>
        </w:rPr>
        <w:t xml:space="preserve">de los informes de dictámenes técnicos – económicos, que permita contar con un portafolio de proyectos potencialmente beneficiarios del programa. </w:t>
      </w:r>
    </w:p>
    <w:p w:rsidR="00D0270E" w:rsidRPr="00E62300" w:rsidRDefault="00D0270E" w:rsidP="00E62300">
      <w:pPr>
        <w:pStyle w:val="Default"/>
        <w:jc w:val="both"/>
        <w:rPr>
          <w:rFonts w:eastAsiaTheme="minorHAnsi"/>
          <w:color w:val="auto"/>
          <w:sz w:val="22"/>
          <w:szCs w:val="22"/>
          <w:lang w:val="es-MX"/>
        </w:rPr>
      </w:pPr>
    </w:p>
    <w:p w:rsidR="002C4B9D" w:rsidRPr="00E62300" w:rsidRDefault="00D0270E" w:rsidP="00E62300">
      <w:pPr>
        <w:pStyle w:val="Default"/>
        <w:numPr>
          <w:ilvl w:val="0"/>
          <w:numId w:val="1"/>
        </w:numPr>
        <w:jc w:val="both"/>
        <w:rPr>
          <w:rFonts w:eastAsiaTheme="minorHAnsi"/>
          <w:color w:val="auto"/>
          <w:sz w:val="22"/>
          <w:szCs w:val="22"/>
          <w:lang w:val="es-MX"/>
        </w:rPr>
      </w:pPr>
      <w:r w:rsidRPr="00E62300">
        <w:rPr>
          <w:rFonts w:eastAsiaTheme="minorHAnsi"/>
          <w:color w:val="auto"/>
          <w:sz w:val="22"/>
          <w:szCs w:val="22"/>
          <w:lang w:val="es-MX"/>
        </w:rPr>
        <w:t>Desarrollar el proceso de negociación con los potenciales beneficiarios del pro</w:t>
      </w:r>
      <w:r w:rsidR="00AD43D2" w:rsidRPr="00E62300">
        <w:rPr>
          <w:rFonts w:eastAsiaTheme="minorHAnsi"/>
          <w:color w:val="auto"/>
          <w:sz w:val="22"/>
          <w:szCs w:val="22"/>
          <w:lang w:val="es-MX"/>
        </w:rPr>
        <w:t xml:space="preserve">grama, en el cual se establezca el monto, plazo, términos y demás condiciones con las cuales el Fideicomiso realizará la inversión en los emprendimientos innovadores aprobados por la Junta del Fideicomiso, y </w:t>
      </w:r>
      <w:r w:rsidR="00F0374A" w:rsidRPr="00E62300">
        <w:rPr>
          <w:rFonts w:eastAsiaTheme="minorHAnsi"/>
          <w:color w:val="auto"/>
          <w:sz w:val="22"/>
          <w:szCs w:val="22"/>
          <w:lang w:val="es-MX"/>
        </w:rPr>
        <w:t xml:space="preserve">materializándose como resultado </w:t>
      </w:r>
      <w:r w:rsidR="00AD43D2" w:rsidRPr="00E62300">
        <w:rPr>
          <w:rFonts w:eastAsiaTheme="minorHAnsi"/>
          <w:color w:val="auto"/>
          <w:sz w:val="22"/>
          <w:szCs w:val="22"/>
          <w:lang w:val="es-MX"/>
        </w:rPr>
        <w:t xml:space="preserve">en un contrato de inversión </w:t>
      </w:r>
    </w:p>
    <w:p w:rsidR="002C4B9D" w:rsidRPr="00E62300" w:rsidRDefault="002C4B9D" w:rsidP="00E62300">
      <w:pPr>
        <w:pStyle w:val="Default"/>
        <w:ind w:left="360"/>
        <w:jc w:val="both"/>
        <w:rPr>
          <w:rFonts w:eastAsiaTheme="minorHAnsi"/>
          <w:color w:val="auto"/>
          <w:sz w:val="22"/>
          <w:szCs w:val="22"/>
          <w:lang w:val="es-MX"/>
        </w:rPr>
      </w:pPr>
    </w:p>
    <w:p w:rsidR="00DE0CD9" w:rsidRDefault="003B02DA" w:rsidP="00E62300">
      <w:pPr>
        <w:spacing w:line="240" w:lineRule="auto"/>
        <w:jc w:val="both"/>
        <w:rPr>
          <w:rFonts w:ascii="Times New Roman" w:hAnsi="Times New Roman" w:cs="Times New Roman"/>
          <w:b/>
        </w:rPr>
      </w:pPr>
      <w:r w:rsidRPr="00E62300">
        <w:rPr>
          <w:rFonts w:ascii="Times New Roman" w:hAnsi="Times New Roman" w:cs="Times New Roman"/>
          <w:b/>
        </w:rPr>
        <w:t>PRODUCTOS:</w:t>
      </w:r>
    </w:p>
    <w:p w:rsidR="000C6751" w:rsidRDefault="000C6751" w:rsidP="00E62300">
      <w:pPr>
        <w:spacing w:line="240" w:lineRule="auto"/>
        <w:jc w:val="both"/>
        <w:rPr>
          <w:rFonts w:ascii="Times New Roman" w:hAnsi="Times New Roman" w:cs="Times New Roman"/>
          <w:b/>
        </w:rPr>
      </w:pPr>
    </w:p>
    <w:tbl>
      <w:tblPr>
        <w:tblStyle w:val="Tablaconcuadrcula"/>
        <w:tblW w:w="0" w:type="auto"/>
        <w:tblLook w:val="04A0"/>
      </w:tblPr>
      <w:tblGrid>
        <w:gridCol w:w="3408"/>
        <w:gridCol w:w="5646"/>
      </w:tblGrid>
      <w:tr w:rsidR="000C6751" w:rsidTr="000C6751">
        <w:tc>
          <w:tcPr>
            <w:tcW w:w="4489" w:type="dxa"/>
          </w:tcPr>
          <w:p w:rsidR="000C6751" w:rsidRDefault="000C6751" w:rsidP="000C6751">
            <w:pPr>
              <w:jc w:val="center"/>
              <w:rPr>
                <w:rFonts w:ascii="Times New Roman" w:hAnsi="Times New Roman" w:cs="Times New Roman"/>
                <w:b/>
              </w:rPr>
            </w:pPr>
            <w:r>
              <w:rPr>
                <w:rFonts w:ascii="Times New Roman" w:hAnsi="Times New Roman" w:cs="Times New Roman"/>
                <w:b/>
              </w:rPr>
              <w:t>Producto</w:t>
            </w:r>
          </w:p>
        </w:tc>
        <w:tc>
          <w:tcPr>
            <w:tcW w:w="4489" w:type="dxa"/>
          </w:tcPr>
          <w:p w:rsidR="000C6751" w:rsidRDefault="000C6751" w:rsidP="000C6751">
            <w:pPr>
              <w:jc w:val="center"/>
              <w:rPr>
                <w:rFonts w:ascii="Times New Roman" w:hAnsi="Times New Roman" w:cs="Times New Roman"/>
                <w:b/>
              </w:rPr>
            </w:pPr>
            <w:r>
              <w:rPr>
                <w:rFonts w:ascii="Times New Roman" w:hAnsi="Times New Roman" w:cs="Times New Roman"/>
                <w:b/>
              </w:rPr>
              <w:t>Detalle</w:t>
            </w:r>
          </w:p>
        </w:tc>
      </w:tr>
      <w:tr w:rsidR="000C6751" w:rsidTr="000C6751">
        <w:tc>
          <w:tcPr>
            <w:tcW w:w="4489" w:type="dxa"/>
          </w:tcPr>
          <w:p w:rsidR="000C6751" w:rsidRPr="00E62300" w:rsidRDefault="000C6751" w:rsidP="000C6751">
            <w:pPr>
              <w:pStyle w:val="NormalWeb"/>
              <w:widowControl/>
              <w:numPr>
                <w:ilvl w:val="0"/>
                <w:numId w:val="3"/>
              </w:numPr>
              <w:suppressAutoHyphens w:val="0"/>
              <w:spacing w:before="0" w:after="0"/>
              <w:ind w:left="284" w:hanging="284"/>
              <w:jc w:val="both"/>
              <w:rPr>
                <w:b/>
                <w:sz w:val="22"/>
                <w:szCs w:val="22"/>
                <w:lang w:val="es-ES_tradnl"/>
              </w:rPr>
            </w:pPr>
            <w:r w:rsidRPr="00E62300">
              <w:rPr>
                <w:b/>
                <w:sz w:val="22"/>
                <w:szCs w:val="22"/>
                <w:lang w:val="es-ES_tradnl"/>
              </w:rPr>
              <w:t>Plan de difusión, comunicación, y promoción dirigida del “Programa Mipymes”.</w:t>
            </w:r>
          </w:p>
          <w:p w:rsidR="000C6751" w:rsidRPr="000C6751" w:rsidRDefault="000C6751" w:rsidP="00E62300">
            <w:pPr>
              <w:jc w:val="both"/>
              <w:rPr>
                <w:rFonts w:ascii="Times New Roman" w:hAnsi="Times New Roman" w:cs="Times New Roman"/>
                <w:b/>
                <w:lang w:val="es-ES_tradnl"/>
              </w:rPr>
            </w:pPr>
          </w:p>
        </w:tc>
        <w:tc>
          <w:tcPr>
            <w:tcW w:w="4489" w:type="dxa"/>
          </w:tcPr>
          <w:p w:rsidR="000C6751" w:rsidRDefault="000C6751" w:rsidP="000C6751">
            <w:pPr>
              <w:pStyle w:val="Prrafodelista"/>
              <w:ind w:left="47"/>
              <w:jc w:val="both"/>
              <w:rPr>
                <w:rFonts w:ascii="Times New Roman" w:eastAsiaTheme="minorHAnsi" w:hAnsi="Times New Roman" w:cs="Times New Roman"/>
                <w:lang w:val="es-MX" w:eastAsia="es-EC"/>
              </w:rPr>
            </w:pPr>
            <w:r w:rsidRPr="00E62300">
              <w:rPr>
                <w:rFonts w:ascii="Times New Roman" w:eastAsiaTheme="minorHAnsi" w:hAnsi="Times New Roman" w:cs="Times New Roman"/>
                <w:lang w:val="es-MX" w:eastAsia="es-EC"/>
              </w:rPr>
              <w:t xml:space="preserve">El plan de difusión, comunicación, y promoción del “Programa Mipymes” </w:t>
            </w:r>
            <w:r>
              <w:rPr>
                <w:rFonts w:ascii="Times New Roman" w:eastAsiaTheme="minorHAnsi" w:hAnsi="Times New Roman" w:cs="Times New Roman"/>
                <w:lang w:val="es-MX" w:eastAsia="es-EC"/>
              </w:rPr>
              <w:t xml:space="preserve">deberá tener </w:t>
            </w:r>
            <w:r w:rsidRPr="00E62300">
              <w:rPr>
                <w:rFonts w:ascii="Times New Roman" w:eastAsiaTheme="minorHAnsi" w:hAnsi="Times New Roman" w:cs="Times New Roman"/>
                <w:lang w:val="es-MX" w:eastAsia="es-EC"/>
              </w:rPr>
              <w:t xml:space="preserve">un alcance a nivel nacional, y ser desarrollado e implementado por parte del </w:t>
            </w:r>
            <w:r w:rsidR="007150E7">
              <w:rPr>
                <w:rFonts w:ascii="Times New Roman" w:eastAsiaTheme="minorHAnsi" w:hAnsi="Times New Roman" w:cs="Times New Roman"/>
                <w:lang w:val="es-MX" w:eastAsia="es-EC"/>
              </w:rPr>
              <w:t>c</w:t>
            </w:r>
            <w:r w:rsidR="005916BC">
              <w:rPr>
                <w:rFonts w:ascii="Times New Roman" w:eastAsiaTheme="minorHAnsi" w:hAnsi="Times New Roman" w:cs="Times New Roman"/>
                <w:lang w:val="es-MX" w:eastAsia="es-EC"/>
              </w:rPr>
              <w:t xml:space="preserve">onsultor </w:t>
            </w:r>
            <w:r>
              <w:rPr>
                <w:rFonts w:ascii="Times New Roman" w:eastAsiaTheme="minorHAnsi" w:hAnsi="Times New Roman" w:cs="Times New Roman"/>
                <w:lang w:val="es-MX" w:eastAsia="es-EC"/>
              </w:rPr>
              <w:t>(</w:t>
            </w:r>
            <w:r w:rsidR="007150E7">
              <w:rPr>
                <w:rFonts w:ascii="Times New Roman" w:eastAsiaTheme="minorHAnsi" w:hAnsi="Times New Roman" w:cs="Times New Roman"/>
                <w:lang w:val="es-MX" w:eastAsia="es-EC"/>
              </w:rPr>
              <w:t>o</w:t>
            </w:r>
            <w:r w:rsidR="005916BC">
              <w:rPr>
                <w:rFonts w:ascii="Times New Roman" w:eastAsiaTheme="minorHAnsi" w:hAnsi="Times New Roman" w:cs="Times New Roman"/>
                <w:lang w:val="es-MX" w:eastAsia="es-EC"/>
              </w:rPr>
              <w:t>perador</w:t>
            </w:r>
            <w:r>
              <w:rPr>
                <w:rFonts w:ascii="Times New Roman" w:eastAsiaTheme="minorHAnsi" w:hAnsi="Times New Roman" w:cs="Times New Roman"/>
                <w:lang w:val="es-MX" w:eastAsia="es-EC"/>
              </w:rPr>
              <w:t>),</w:t>
            </w:r>
            <w:r w:rsidRPr="00E62300">
              <w:rPr>
                <w:rFonts w:ascii="Times New Roman" w:eastAsiaTheme="minorHAnsi" w:hAnsi="Times New Roman" w:cs="Times New Roman"/>
                <w:lang w:val="es-MX" w:eastAsia="es-EC"/>
              </w:rPr>
              <w:t xml:space="preserve"> en coordinación con la Unidad Ejecutora del </w:t>
            </w:r>
            <w:r w:rsidR="00415675">
              <w:rPr>
                <w:rFonts w:ascii="Times New Roman" w:eastAsiaTheme="minorHAnsi" w:hAnsi="Times New Roman" w:cs="Times New Roman"/>
                <w:lang w:val="es-MX" w:eastAsia="es-EC"/>
              </w:rPr>
              <w:t>Fondo de Capital de Riesgo</w:t>
            </w:r>
            <w:r w:rsidRPr="00E62300">
              <w:rPr>
                <w:rFonts w:ascii="Times New Roman" w:eastAsiaTheme="minorHAnsi" w:hAnsi="Times New Roman" w:cs="Times New Roman"/>
                <w:lang w:val="es-MX" w:eastAsia="es-EC"/>
              </w:rPr>
              <w:t xml:space="preserve">. </w:t>
            </w:r>
            <w:r w:rsidR="00A72281">
              <w:rPr>
                <w:rFonts w:ascii="Times New Roman" w:eastAsiaTheme="minorHAnsi" w:hAnsi="Times New Roman" w:cs="Times New Roman"/>
                <w:lang w:val="es-MX" w:eastAsia="es-EC"/>
              </w:rPr>
              <w:t xml:space="preserve">Dicho plan deberá enfocarse en la difusión de las bases y operatividad del programa, y a su vez </w:t>
            </w:r>
            <w:r w:rsidRPr="00E62300">
              <w:rPr>
                <w:rFonts w:ascii="Times New Roman" w:eastAsiaTheme="minorHAnsi" w:hAnsi="Times New Roman" w:cs="Times New Roman"/>
                <w:lang w:val="es-MX" w:eastAsia="es-EC"/>
              </w:rPr>
              <w:t>promover la generación de emprendimientos innovadores que participen</w:t>
            </w:r>
            <w:r>
              <w:rPr>
                <w:rFonts w:ascii="Times New Roman" w:eastAsiaTheme="minorHAnsi" w:hAnsi="Times New Roman" w:cs="Times New Roman"/>
                <w:lang w:val="es-MX" w:eastAsia="es-EC"/>
              </w:rPr>
              <w:t xml:space="preserve"> en</w:t>
            </w:r>
            <w:r w:rsidRPr="00E62300">
              <w:rPr>
                <w:rFonts w:ascii="Times New Roman" w:eastAsiaTheme="minorHAnsi" w:hAnsi="Times New Roman" w:cs="Times New Roman"/>
                <w:lang w:val="es-MX" w:eastAsia="es-EC"/>
              </w:rPr>
              <w:t xml:space="preserve"> la convocatoria</w:t>
            </w:r>
            <w:r w:rsidR="00AF0F0C">
              <w:rPr>
                <w:rFonts w:ascii="Times New Roman" w:eastAsiaTheme="minorHAnsi" w:hAnsi="Times New Roman" w:cs="Times New Roman"/>
                <w:lang w:val="es-MX" w:eastAsia="es-EC"/>
              </w:rPr>
              <w:t>.</w:t>
            </w:r>
          </w:p>
          <w:p w:rsidR="00DF151B" w:rsidRDefault="00DF151B" w:rsidP="000C6751">
            <w:pPr>
              <w:pStyle w:val="Prrafodelista"/>
              <w:ind w:left="47"/>
              <w:jc w:val="both"/>
              <w:rPr>
                <w:rFonts w:ascii="Times New Roman" w:eastAsiaTheme="minorHAnsi" w:hAnsi="Times New Roman" w:cs="Times New Roman"/>
                <w:lang w:val="es-MX" w:eastAsia="es-EC"/>
              </w:rPr>
            </w:pPr>
          </w:p>
          <w:p w:rsidR="00DF151B" w:rsidRDefault="00DF151B" w:rsidP="00DF151B">
            <w:pPr>
              <w:pStyle w:val="NormalWeb"/>
              <w:spacing w:before="0" w:after="0"/>
              <w:jc w:val="both"/>
              <w:rPr>
                <w:rFonts w:eastAsiaTheme="minorHAnsi"/>
                <w:kern w:val="0"/>
                <w:sz w:val="22"/>
                <w:szCs w:val="22"/>
                <w:lang w:val="es-MX" w:eastAsia="es-EC"/>
              </w:rPr>
            </w:pPr>
            <w:r w:rsidRPr="00DF151B">
              <w:rPr>
                <w:rFonts w:eastAsiaTheme="minorHAnsi"/>
                <w:kern w:val="0"/>
                <w:sz w:val="22"/>
                <w:szCs w:val="22"/>
                <w:lang w:val="es-MX" w:eastAsia="es-EC"/>
              </w:rPr>
              <w:t xml:space="preserve">El Plan deberá </w:t>
            </w:r>
            <w:r w:rsidR="00A72281">
              <w:rPr>
                <w:rFonts w:eastAsiaTheme="minorHAnsi"/>
                <w:kern w:val="0"/>
                <w:sz w:val="22"/>
                <w:szCs w:val="22"/>
                <w:lang w:val="es-MX" w:eastAsia="es-EC"/>
              </w:rPr>
              <w:t xml:space="preserve">presentar </w:t>
            </w:r>
            <w:r w:rsidRPr="00DF151B">
              <w:rPr>
                <w:rFonts w:eastAsiaTheme="minorHAnsi"/>
                <w:kern w:val="0"/>
                <w:sz w:val="22"/>
                <w:szCs w:val="22"/>
                <w:lang w:val="es-MX" w:eastAsia="es-EC"/>
              </w:rPr>
              <w:t>el desarrollo de 20 jornadas de</w:t>
            </w:r>
            <w:r w:rsidR="00264D16">
              <w:rPr>
                <w:rFonts w:eastAsiaTheme="minorHAnsi"/>
                <w:kern w:val="0"/>
                <w:sz w:val="22"/>
                <w:szCs w:val="22"/>
                <w:lang w:val="es-MX" w:eastAsia="es-EC"/>
              </w:rPr>
              <w:t xml:space="preserve"> </w:t>
            </w:r>
            <w:r w:rsidR="007150E7">
              <w:rPr>
                <w:rFonts w:eastAsiaTheme="minorHAnsi"/>
                <w:kern w:val="0"/>
                <w:sz w:val="22"/>
                <w:szCs w:val="22"/>
                <w:lang w:val="es-MX" w:eastAsia="es-EC"/>
              </w:rPr>
              <w:lastRenderedPageBreak/>
              <w:t>difusión dirigidas</w:t>
            </w:r>
            <w:r w:rsidRPr="00DF151B">
              <w:rPr>
                <w:rFonts w:eastAsiaTheme="minorHAnsi"/>
                <w:kern w:val="0"/>
                <w:sz w:val="22"/>
                <w:szCs w:val="22"/>
                <w:lang w:val="es-MX" w:eastAsia="es-EC"/>
              </w:rPr>
              <w:t xml:space="preserve"> a potenciales participantes del “Programa Mipymes”, que cuenten o deseen desarrollar emprendimientos innovadores en las etapas de Id</w:t>
            </w:r>
            <w:r w:rsidR="007150E7">
              <w:rPr>
                <w:rFonts w:eastAsiaTheme="minorHAnsi"/>
                <w:kern w:val="0"/>
                <w:sz w:val="22"/>
                <w:szCs w:val="22"/>
                <w:lang w:val="es-MX" w:eastAsia="es-EC"/>
              </w:rPr>
              <w:t>ea-proyecto, y Puesta en marcha</w:t>
            </w:r>
            <w:r w:rsidRPr="00DF151B">
              <w:rPr>
                <w:rFonts w:eastAsiaTheme="minorHAnsi"/>
                <w:kern w:val="0"/>
                <w:sz w:val="22"/>
                <w:szCs w:val="22"/>
                <w:lang w:val="es-MX" w:eastAsia="es-EC"/>
              </w:rPr>
              <w:t>. Estas  jornadas  se desarrollarán bajo la siguiente hoja de ruta propuesta por el Mipro al</w:t>
            </w:r>
            <w:r w:rsidR="00B95910">
              <w:rPr>
                <w:rFonts w:eastAsiaTheme="minorHAnsi"/>
                <w:kern w:val="0"/>
                <w:sz w:val="22"/>
                <w:szCs w:val="22"/>
                <w:lang w:val="es-MX" w:eastAsia="es-EC"/>
              </w:rPr>
              <w:t xml:space="preserve"> </w:t>
            </w:r>
            <w:r w:rsidR="007150E7">
              <w:rPr>
                <w:rFonts w:eastAsiaTheme="minorHAnsi"/>
                <w:kern w:val="0"/>
                <w:sz w:val="22"/>
                <w:szCs w:val="22"/>
                <w:lang w:val="es-MX" w:eastAsia="es-EC"/>
              </w:rPr>
              <w:t>c</w:t>
            </w:r>
            <w:r w:rsidR="005916BC">
              <w:rPr>
                <w:rFonts w:eastAsiaTheme="minorHAnsi"/>
                <w:kern w:val="0"/>
                <w:sz w:val="22"/>
                <w:szCs w:val="22"/>
                <w:lang w:val="es-MX" w:eastAsia="es-EC"/>
              </w:rPr>
              <w:t>onsultor</w:t>
            </w:r>
            <w:r w:rsidRPr="00DF151B">
              <w:rPr>
                <w:rFonts w:eastAsiaTheme="minorHAnsi"/>
                <w:kern w:val="0"/>
                <w:sz w:val="22"/>
                <w:szCs w:val="22"/>
                <w:lang w:val="es-MX" w:eastAsia="es-EC"/>
              </w:rPr>
              <w:t>:</w:t>
            </w:r>
          </w:p>
          <w:p w:rsidR="00B95910" w:rsidRDefault="00B95910" w:rsidP="00DF151B">
            <w:pPr>
              <w:pStyle w:val="NormalWeb"/>
              <w:spacing w:before="0" w:after="0"/>
              <w:jc w:val="both"/>
              <w:rPr>
                <w:rFonts w:eastAsiaTheme="minorHAnsi"/>
                <w:kern w:val="0"/>
                <w:sz w:val="22"/>
                <w:szCs w:val="22"/>
                <w:lang w:val="es-MX" w:eastAsia="es-EC"/>
              </w:rPr>
            </w:pPr>
          </w:p>
          <w:p w:rsidR="00B95910" w:rsidRDefault="00B95910" w:rsidP="00DF151B">
            <w:pPr>
              <w:pStyle w:val="NormalWeb"/>
              <w:spacing w:before="0" w:after="0"/>
              <w:jc w:val="both"/>
              <w:rPr>
                <w:rFonts w:eastAsiaTheme="minorHAnsi"/>
                <w:kern w:val="0"/>
                <w:sz w:val="22"/>
                <w:szCs w:val="22"/>
                <w:lang w:val="es-MX" w:eastAsia="es-EC"/>
              </w:rPr>
            </w:pPr>
            <w:r w:rsidRPr="00B95910">
              <w:rPr>
                <w:rFonts w:eastAsiaTheme="minorHAnsi"/>
                <w:noProof/>
                <w:kern w:val="0"/>
                <w:sz w:val="22"/>
                <w:szCs w:val="22"/>
                <w:lang w:val="es-EC" w:eastAsia="es-EC"/>
              </w:rPr>
              <w:drawing>
                <wp:inline distT="0" distB="0" distL="0" distR="0">
                  <wp:extent cx="3425190" cy="4143375"/>
                  <wp:effectExtent l="19050" t="0" r="381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426776" cy="4145294"/>
                          </a:xfrm>
                          <a:prstGeom prst="rect">
                            <a:avLst/>
                          </a:prstGeom>
                          <a:noFill/>
                          <a:ln w="9525">
                            <a:noFill/>
                            <a:miter lim="800000"/>
                            <a:headEnd/>
                            <a:tailEnd/>
                          </a:ln>
                        </pic:spPr>
                      </pic:pic>
                    </a:graphicData>
                  </a:graphic>
                </wp:inline>
              </w:drawing>
            </w:r>
          </w:p>
          <w:p w:rsidR="00680981" w:rsidRDefault="00680981" w:rsidP="00DF151B">
            <w:pPr>
              <w:pStyle w:val="NormalWeb"/>
              <w:spacing w:before="0" w:after="0"/>
              <w:jc w:val="both"/>
              <w:rPr>
                <w:rFonts w:eastAsiaTheme="minorHAnsi"/>
                <w:kern w:val="0"/>
                <w:sz w:val="22"/>
                <w:szCs w:val="22"/>
                <w:lang w:val="es-MX" w:eastAsia="es-EC"/>
              </w:rPr>
            </w:pPr>
          </w:p>
          <w:p w:rsidR="005916BC" w:rsidRPr="005916BC" w:rsidRDefault="005916BC" w:rsidP="005916BC">
            <w:pPr>
              <w:pStyle w:val="NormalWeb"/>
              <w:spacing w:before="0" w:after="0"/>
              <w:jc w:val="both"/>
              <w:rPr>
                <w:rFonts w:eastAsiaTheme="minorHAnsi"/>
                <w:kern w:val="0"/>
                <w:sz w:val="22"/>
                <w:szCs w:val="22"/>
                <w:lang w:val="es-MX" w:eastAsia="es-EC"/>
              </w:rPr>
            </w:pPr>
            <w:r w:rsidRPr="005916BC">
              <w:rPr>
                <w:rFonts w:eastAsiaTheme="minorHAnsi"/>
                <w:kern w:val="0"/>
                <w:sz w:val="22"/>
                <w:szCs w:val="22"/>
                <w:lang w:val="es-MX" w:eastAsia="es-EC"/>
              </w:rPr>
              <w:t xml:space="preserve">Estas jornadas de difusión dirigida deben  ser dinámicas,  con  ejemplos  y  prácticas  entre  los  participantes, de  tal  manera  que  se genere un ambiente de intercambio de conocimientos. La convocatoria deberá generar una participación con un mínimo de 50 participantes por evento (todos  los  costos  asociados  serán  cubiertos por  el consultor: local, papelería, equipo multimedia, entre otros). </w:t>
            </w:r>
          </w:p>
          <w:p w:rsidR="005916BC" w:rsidRPr="005916BC" w:rsidRDefault="005916BC" w:rsidP="005916BC">
            <w:pPr>
              <w:pStyle w:val="NormalWeb"/>
              <w:spacing w:before="0" w:after="0"/>
              <w:ind w:left="-6"/>
              <w:jc w:val="both"/>
              <w:rPr>
                <w:rFonts w:eastAsiaTheme="minorHAnsi"/>
                <w:kern w:val="0"/>
                <w:sz w:val="22"/>
                <w:szCs w:val="22"/>
                <w:lang w:val="es-MX" w:eastAsia="es-EC"/>
              </w:rPr>
            </w:pPr>
          </w:p>
          <w:p w:rsidR="005916BC" w:rsidRPr="005916BC" w:rsidRDefault="005916BC" w:rsidP="005916BC">
            <w:pPr>
              <w:pStyle w:val="NormalWeb"/>
              <w:spacing w:before="0" w:after="0"/>
              <w:ind w:left="-6"/>
              <w:jc w:val="both"/>
              <w:rPr>
                <w:rFonts w:eastAsiaTheme="minorHAnsi"/>
                <w:kern w:val="0"/>
                <w:sz w:val="22"/>
                <w:szCs w:val="22"/>
                <w:lang w:val="es-MX" w:eastAsia="es-EC"/>
              </w:rPr>
            </w:pPr>
            <w:r w:rsidRPr="005916BC">
              <w:rPr>
                <w:rFonts w:eastAsiaTheme="minorHAnsi"/>
                <w:kern w:val="0"/>
                <w:sz w:val="22"/>
                <w:szCs w:val="22"/>
                <w:lang w:val="es-MX" w:eastAsia="es-EC"/>
              </w:rPr>
              <w:t xml:space="preserve">Previo el desarrollo de las jornadas de difusión dirigida deberá presentarse al Mipro </w:t>
            </w:r>
            <w:r w:rsidR="007150E7">
              <w:rPr>
                <w:rFonts w:eastAsiaTheme="minorHAnsi"/>
                <w:kern w:val="0"/>
                <w:sz w:val="22"/>
                <w:szCs w:val="22"/>
                <w:lang w:val="es-MX" w:eastAsia="es-EC"/>
              </w:rPr>
              <w:t>el P</w:t>
            </w:r>
            <w:r w:rsidRPr="005916BC">
              <w:rPr>
                <w:rFonts w:eastAsiaTheme="minorHAnsi"/>
                <w:kern w:val="0"/>
                <w:sz w:val="22"/>
                <w:szCs w:val="22"/>
                <w:lang w:val="es-MX" w:eastAsia="es-EC"/>
              </w:rPr>
              <w:t>lan de difusión, comunicación, y promoción del “Programa Mipymes”, y el cronograma de ejecución</w:t>
            </w:r>
            <w:r w:rsidR="007150E7">
              <w:rPr>
                <w:rFonts w:eastAsiaTheme="minorHAnsi"/>
                <w:kern w:val="0"/>
                <w:sz w:val="22"/>
                <w:szCs w:val="22"/>
                <w:lang w:val="es-MX" w:eastAsia="es-EC"/>
              </w:rPr>
              <w:t>,</w:t>
            </w:r>
            <w:r w:rsidRPr="005916BC">
              <w:rPr>
                <w:rFonts w:eastAsiaTheme="minorHAnsi"/>
                <w:kern w:val="0"/>
                <w:sz w:val="22"/>
                <w:szCs w:val="22"/>
                <w:lang w:val="es-MX" w:eastAsia="es-EC"/>
              </w:rPr>
              <w:t xml:space="preserve"> a la Unidad Ejecutora del Mipro para su aprobación. El consultor podrá realizar alguna modificación en la logística presentando a la Unidad Ejecutora del Mipro la debida justificación.</w:t>
            </w:r>
          </w:p>
          <w:p w:rsidR="000C6751" w:rsidRPr="000C6751" w:rsidRDefault="000C6751" w:rsidP="00E62300">
            <w:pPr>
              <w:jc w:val="both"/>
              <w:rPr>
                <w:rFonts w:ascii="Times New Roman" w:hAnsi="Times New Roman" w:cs="Times New Roman"/>
                <w:b/>
                <w:lang w:val="es-MX"/>
              </w:rPr>
            </w:pPr>
          </w:p>
        </w:tc>
      </w:tr>
      <w:tr w:rsidR="000C6751" w:rsidTr="000C6751">
        <w:tc>
          <w:tcPr>
            <w:tcW w:w="4489" w:type="dxa"/>
          </w:tcPr>
          <w:p w:rsidR="000C6751" w:rsidRDefault="009B1E0B" w:rsidP="00E62300">
            <w:pPr>
              <w:jc w:val="both"/>
              <w:rPr>
                <w:rFonts w:ascii="Times New Roman" w:hAnsi="Times New Roman" w:cs="Times New Roman"/>
                <w:b/>
              </w:rPr>
            </w:pPr>
            <w:r w:rsidRPr="009B1E0B">
              <w:rPr>
                <w:rFonts w:ascii="Times New Roman" w:eastAsia="Arial Unicode MS" w:hAnsi="Times New Roman" w:cs="Times New Roman"/>
                <w:b/>
                <w:kern w:val="1"/>
                <w:lang w:val="es-ES_tradnl" w:eastAsia="ar-SA"/>
              </w:rPr>
              <w:lastRenderedPageBreak/>
              <w:t>Informe de los emprendimientos innovadores preseleccionados.</w:t>
            </w:r>
          </w:p>
        </w:tc>
        <w:tc>
          <w:tcPr>
            <w:tcW w:w="4489" w:type="dxa"/>
          </w:tcPr>
          <w:p w:rsidR="00DF2AE5" w:rsidRDefault="009B1E0B" w:rsidP="00DF2AE5">
            <w:pPr>
              <w:pStyle w:val="NormalWeb"/>
              <w:widowControl/>
              <w:suppressAutoHyphens w:val="0"/>
              <w:jc w:val="both"/>
              <w:rPr>
                <w:rFonts w:eastAsiaTheme="minorHAnsi"/>
                <w:kern w:val="0"/>
                <w:sz w:val="22"/>
                <w:szCs w:val="22"/>
                <w:lang w:val="es-MX" w:eastAsia="es-EC"/>
              </w:rPr>
            </w:pPr>
            <w:r w:rsidRPr="009B1E0B">
              <w:rPr>
                <w:rFonts w:eastAsiaTheme="minorHAnsi"/>
                <w:kern w:val="0"/>
                <w:sz w:val="22"/>
                <w:szCs w:val="22"/>
                <w:lang w:val="es-MX" w:eastAsia="es-EC"/>
              </w:rPr>
              <w:t>El consultor preseleccionará</w:t>
            </w:r>
            <w:r w:rsidR="0024210C">
              <w:rPr>
                <w:rFonts w:eastAsiaTheme="minorHAnsi"/>
                <w:kern w:val="0"/>
                <w:sz w:val="22"/>
                <w:szCs w:val="22"/>
                <w:lang w:val="es-MX" w:eastAsia="es-EC"/>
              </w:rPr>
              <w:t xml:space="preserve"> de </w:t>
            </w:r>
            <w:r>
              <w:rPr>
                <w:rFonts w:eastAsiaTheme="minorHAnsi"/>
                <w:kern w:val="0"/>
                <w:sz w:val="22"/>
                <w:szCs w:val="22"/>
                <w:lang w:val="es-MX" w:eastAsia="es-EC"/>
              </w:rPr>
              <w:t>forma simultánea</w:t>
            </w:r>
            <w:r w:rsidRPr="009B1E0B">
              <w:rPr>
                <w:rFonts w:eastAsiaTheme="minorHAnsi"/>
                <w:kern w:val="0"/>
                <w:sz w:val="22"/>
                <w:szCs w:val="22"/>
                <w:lang w:val="es-MX" w:eastAsia="es-EC"/>
              </w:rPr>
              <w:t xml:space="preserve"> los emprendimientos innovadores</w:t>
            </w:r>
            <w:r w:rsidR="00ED0BC7">
              <w:rPr>
                <w:rFonts w:eastAsiaTheme="minorHAnsi"/>
                <w:kern w:val="0"/>
                <w:sz w:val="22"/>
                <w:szCs w:val="22"/>
                <w:lang w:val="es-MX" w:eastAsia="es-EC"/>
              </w:rPr>
              <w:t>,</w:t>
            </w:r>
            <w:r w:rsidR="00DF2AE5">
              <w:rPr>
                <w:rFonts w:eastAsiaTheme="minorHAnsi"/>
                <w:kern w:val="0"/>
                <w:sz w:val="22"/>
                <w:szCs w:val="22"/>
                <w:lang w:val="es-MX" w:eastAsia="es-EC"/>
              </w:rPr>
              <w:t xml:space="preserve"> </w:t>
            </w:r>
            <w:r w:rsidR="00040970">
              <w:rPr>
                <w:rFonts w:eastAsiaTheme="minorHAnsi"/>
                <w:kern w:val="0"/>
                <w:sz w:val="22"/>
                <w:szCs w:val="22"/>
                <w:lang w:val="es-MX" w:eastAsia="es-EC"/>
              </w:rPr>
              <w:t xml:space="preserve">de </w:t>
            </w:r>
            <w:r w:rsidR="00DF2AE5">
              <w:rPr>
                <w:rFonts w:eastAsiaTheme="minorHAnsi"/>
                <w:kern w:val="0"/>
                <w:sz w:val="22"/>
                <w:szCs w:val="22"/>
                <w:lang w:val="es-MX" w:eastAsia="es-EC"/>
              </w:rPr>
              <w:t>ambas modalidades de postulación</w:t>
            </w:r>
            <w:r w:rsidR="00ED0BC7">
              <w:rPr>
                <w:rFonts w:eastAsiaTheme="minorHAnsi"/>
                <w:kern w:val="0"/>
                <w:sz w:val="22"/>
                <w:szCs w:val="22"/>
                <w:lang w:val="es-MX" w:eastAsia="es-EC"/>
              </w:rPr>
              <w:t>,</w:t>
            </w:r>
            <w:r w:rsidR="00DF2AE5">
              <w:rPr>
                <w:rFonts w:eastAsiaTheme="minorHAnsi"/>
                <w:kern w:val="0"/>
                <w:sz w:val="22"/>
                <w:szCs w:val="22"/>
                <w:lang w:val="es-MX" w:eastAsia="es-EC"/>
              </w:rPr>
              <w:t xml:space="preserve"> </w:t>
            </w:r>
            <w:r w:rsidRPr="009B1E0B">
              <w:rPr>
                <w:rFonts w:eastAsiaTheme="minorHAnsi"/>
                <w:kern w:val="0"/>
                <w:sz w:val="22"/>
                <w:szCs w:val="22"/>
                <w:lang w:val="es-MX" w:eastAsia="es-EC"/>
              </w:rPr>
              <w:t>que cumplan con los criterios de preselección establecidos en las bases del “Programa Mipymes”, para lo cual examinará y validará toda la información solicitada e ingresada</w:t>
            </w:r>
            <w:r>
              <w:rPr>
                <w:rFonts w:eastAsiaTheme="minorHAnsi"/>
                <w:kern w:val="0"/>
                <w:sz w:val="22"/>
                <w:szCs w:val="22"/>
                <w:lang w:val="es-MX" w:eastAsia="es-EC"/>
              </w:rPr>
              <w:t xml:space="preserve"> a través de la Plataforma del Banco de Ideas</w:t>
            </w:r>
            <w:r w:rsidRPr="009B1E0B">
              <w:rPr>
                <w:rFonts w:eastAsiaTheme="minorHAnsi"/>
                <w:kern w:val="0"/>
                <w:sz w:val="22"/>
                <w:szCs w:val="22"/>
                <w:lang w:val="es-MX" w:eastAsia="es-EC"/>
              </w:rPr>
              <w:t>. La valoración de la contraparte exigida al postulante del costo total del proyecto deberá ser validada por el consultor.</w:t>
            </w:r>
          </w:p>
          <w:p w:rsidR="00C079E1" w:rsidRDefault="00B16A17" w:rsidP="00DF2AE5">
            <w:pPr>
              <w:pStyle w:val="NormalWeb"/>
              <w:widowControl/>
              <w:suppressAutoHyphens w:val="0"/>
              <w:jc w:val="both"/>
              <w:rPr>
                <w:rFonts w:eastAsiaTheme="minorHAnsi"/>
                <w:sz w:val="22"/>
                <w:szCs w:val="22"/>
                <w:lang w:val="es-MX"/>
              </w:rPr>
            </w:pPr>
            <w:r w:rsidRPr="00B16A17">
              <w:rPr>
                <w:rFonts w:eastAsiaTheme="minorHAnsi"/>
                <w:sz w:val="22"/>
                <w:szCs w:val="22"/>
                <w:lang w:val="es-MX"/>
              </w:rPr>
              <w:t>El resultado de</w:t>
            </w:r>
            <w:r w:rsidR="00D117DC">
              <w:rPr>
                <w:rFonts w:eastAsiaTheme="minorHAnsi"/>
                <w:sz w:val="22"/>
                <w:szCs w:val="22"/>
                <w:lang w:val="es-MX"/>
              </w:rPr>
              <w:t xml:space="preserve"> la </w:t>
            </w:r>
            <w:r w:rsidR="00C079E1">
              <w:rPr>
                <w:rFonts w:eastAsiaTheme="minorHAnsi"/>
                <w:sz w:val="22"/>
                <w:szCs w:val="22"/>
                <w:lang w:val="es-MX"/>
              </w:rPr>
              <w:t xml:space="preserve">fase de </w:t>
            </w:r>
            <w:r w:rsidR="008B38EA">
              <w:rPr>
                <w:rFonts w:eastAsiaTheme="minorHAnsi"/>
                <w:sz w:val="22"/>
                <w:szCs w:val="22"/>
                <w:lang w:val="es-MX"/>
              </w:rPr>
              <w:t xml:space="preserve">preselección </w:t>
            </w:r>
            <w:r w:rsidRPr="00B16A17">
              <w:rPr>
                <w:rFonts w:eastAsiaTheme="minorHAnsi"/>
                <w:sz w:val="22"/>
                <w:szCs w:val="22"/>
                <w:lang w:val="es-MX"/>
              </w:rPr>
              <w:t>será</w:t>
            </w:r>
            <w:r w:rsidR="008B38EA">
              <w:rPr>
                <w:rFonts w:eastAsiaTheme="minorHAnsi"/>
                <w:sz w:val="22"/>
                <w:szCs w:val="22"/>
                <w:lang w:val="es-MX"/>
              </w:rPr>
              <w:t xml:space="preserve"> </w:t>
            </w:r>
            <w:r w:rsidRPr="00B16A17">
              <w:rPr>
                <w:rFonts w:eastAsiaTheme="minorHAnsi"/>
                <w:sz w:val="22"/>
                <w:szCs w:val="22"/>
                <w:lang w:val="es-MX"/>
              </w:rPr>
              <w:t xml:space="preserve">notificado mediante </w:t>
            </w:r>
            <w:r w:rsidR="00C079E1">
              <w:rPr>
                <w:rFonts w:eastAsiaTheme="minorHAnsi"/>
                <w:sz w:val="22"/>
                <w:szCs w:val="22"/>
                <w:lang w:val="es-MX"/>
              </w:rPr>
              <w:t xml:space="preserve">un informe </w:t>
            </w:r>
            <w:r w:rsidR="008B38EA">
              <w:rPr>
                <w:rFonts w:eastAsiaTheme="minorHAnsi"/>
                <w:sz w:val="22"/>
                <w:szCs w:val="22"/>
                <w:lang w:val="es-MX"/>
              </w:rPr>
              <w:t xml:space="preserve">periódico </w:t>
            </w:r>
            <w:r w:rsidR="00C079E1">
              <w:rPr>
                <w:rFonts w:eastAsiaTheme="minorHAnsi"/>
                <w:sz w:val="22"/>
                <w:szCs w:val="22"/>
                <w:lang w:val="es-MX"/>
              </w:rPr>
              <w:t>semanal</w:t>
            </w:r>
            <w:r w:rsidR="008B38EA">
              <w:rPr>
                <w:rFonts w:eastAsiaTheme="minorHAnsi"/>
                <w:sz w:val="22"/>
                <w:szCs w:val="22"/>
                <w:lang w:val="es-MX"/>
              </w:rPr>
              <w:t xml:space="preserve"> </w:t>
            </w:r>
          </w:p>
          <w:p w:rsidR="00C079E1" w:rsidRDefault="00C079E1" w:rsidP="00DF2AE5">
            <w:pPr>
              <w:pStyle w:val="NormalWeb"/>
              <w:widowControl/>
              <w:suppressAutoHyphens w:val="0"/>
              <w:jc w:val="both"/>
              <w:rPr>
                <w:rFonts w:eastAsiaTheme="minorHAnsi"/>
                <w:sz w:val="22"/>
                <w:szCs w:val="22"/>
                <w:lang w:val="es-MX"/>
              </w:rPr>
            </w:pPr>
          </w:p>
          <w:p w:rsidR="00B16A17" w:rsidRPr="00DF2AE5" w:rsidRDefault="00B16A17" w:rsidP="00DF2AE5">
            <w:pPr>
              <w:pStyle w:val="NormalWeb"/>
              <w:widowControl/>
              <w:suppressAutoHyphens w:val="0"/>
              <w:jc w:val="both"/>
              <w:rPr>
                <w:rFonts w:eastAsiaTheme="minorHAnsi"/>
                <w:kern w:val="0"/>
                <w:sz w:val="22"/>
                <w:szCs w:val="22"/>
                <w:lang w:val="es-MX" w:eastAsia="es-EC"/>
              </w:rPr>
            </w:pPr>
            <w:r w:rsidRPr="00B16A17">
              <w:rPr>
                <w:rFonts w:eastAsiaTheme="minorHAnsi"/>
                <w:sz w:val="22"/>
                <w:szCs w:val="22"/>
                <w:lang w:val="es-MX"/>
              </w:rPr>
              <w:t>correo  electrónico  a  los postulantes a las  direcciones  indicadas  para  estos  efectos  en el registro de postulaciones. Los proyectos no admitidos que apelen su resultado tendrán un tiempo máximo de respuesta de 3 días hábiles por parte del consultor.</w:t>
            </w:r>
          </w:p>
          <w:p w:rsidR="000C6751" w:rsidRDefault="000C6751" w:rsidP="00E62300">
            <w:pPr>
              <w:jc w:val="both"/>
              <w:rPr>
                <w:rFonts w:ascii="Times New Roman" w:hAnsi="Times New Roman" w:cs="Times New Roman"/>
                <w:b/>
              </w:rPr>
            </w:pPr>
          </w:p>
        </w:tc>
      </w:tr>
      <w:tr w:rsidR="000C6751" w:rsidTr="000C6751">
        <w:tc>
          <w:tcPr>
            <w:tcW w:w="4489" w:type="dxa"/>
          </w:tcPr>
          <w:p w:rsidR="000C6751" w:rsidRDefault="000C6751" w:rsidP="00E62300">
            <w:pPr>
              <w:jc w:val="both"/>
              <w:rPr>
                <w:rFonts w:ascii="Times New Roman" w:hAnsi="Times New Roman" w:cs="Times New Roman"/>
                <w:b/>
              </w:rPr>
            </w:pPr>
          </w:p>
        </w:tc>
        <w:tc>
          <w:tcPr>
            <w:tcW w:w="4489" w:type="dxa"/>
          </w:tcPr>
          <w:p w:rsidR="000C6751" w:rsidRDefault="000C6751" w:rsidP="00E62300">
            <w:pPr>
              <w:jc w:val="both"/>
              <w:rPr>
                <w:rFonts w:ascii="Times New Roman" w:hAnsi="Times New Roman" w:cs="Times New Roman"/>
                <w:b/>
              </w:rPr>
            </w:pPr>
          </w:p>
        </w:tc>
      </w:tr>
      <w:tr w:rsidR="000C6751" w:rsidTr="000C6751">
        <w:tc>
          <w:tcPr>
            <w:tcW w:w="4489" w:type="dxa"/>
          </w:tcPr>
          <w:p w:rsidR="000C6751" w:rsidRDefault="000C6751" w:rsidP="00E62300">
            <w:pPr>
              <w:jc w:val="both"/>
              <w:rPr>
                <w:rFonts w:ascii="Times New Roman" w:hAnsi="Times New Roman" w:cs="Times New Roman"/>
                <w:b/>
              </w:rPr>
            </w:pPr>
          </w:p>
        </w:tc>
        <w:tc>
          <w:tcPr>
            <w:tcW w:w="4489" w:type="dxa"/>
          </w:tcPr>
          <w:p w:rsidR="000C6751" w:rsidRDefault="000C6751" w:rsidP="00E62300">
            <w:pPr>
              <w:jc w:val="both"/>
              <w:rPr>
                <w:rFonts w:ascii="Times New Roman" w:hAnsi="Times New Roman" w:cs="Times New Roman"/>
                <w:b/>
              </w:rPr>
            </w:pPr>
          </w:p>
        </w:tc>
      </w:tr>
      <w:tr w:rsidR="000C6751" w:rsidTr="000C6751">
        <w:tc>
          <w:tcPr>
            <w:tcW w:w="4489" w:type="dxa"/>
          </w:tcPr>
          <w:p w:rsidR="000C6751" w:rsidRDefault="000C6751" w:rsidP="00E62300">
            <w:pPr>
              <w:jc w:val="both"/>
              <w:rPr>
                <w:rFonts w:ascii="Times New Roman" w:hAnsi="Times New Roman" w:cs="Times New Roman"/>
                <w:b/>
              </w:rPr>
            </w:pPr>
          </w:p>
        </w:tc>
        <w:tc>
          <w:tcPr>
            <w:tcW w:w="4489" w:type="dxa"/>
          </w:tcPr>
          <w:p w:rsidR="000C6751" w:rsidRDefault="000C6751" w:rsidP="00E62300">
            <w:pPr>
              <w:jc w:val="both"/>
              <w:rPr>
                <w:rFonts w:ascii="Times New Roman" w:hAnsi="Times New Roman" w:cs="Times New Roman"/>
                <w:b/>
              </w:rPr>
            </w:pPr>
          </w:p>
        </w:tc>
      </w:tr>
    </w:tbl>
    <w:p w:rsidR="000C6751" w:rsidRPr="00E62300" w:rsidRDefault="000C6751" w:rsidP="00E62300">
      <w:pPr>
        <w:spacing w:line="240" w:lineRule="auto"/>
        <w:jc w:val="both"/>
        <w:rPr>
          <w:rFonts w:ascii="Times New Roman" w:hAnsi="Times New Roman" w:cs="Times New Roman"/>
          <w:b/>
        </w:rPr>
      </w:pPr>
    </w:p>
    <w:p w:rsidR="00571508" w:rsidRPr="00E62300" w:rsidRDefault="00571508" w:rsidP="00E62300">
      <w:pPr>
        <w:pStyle w:val="Prrafodelista"/>
        <w:spacing w:line="240" w:lineRule="auto"/>
        <w:jc w:val="both"/>
        <w:rPr>
          <w:rFonts w:ascii="Times New Roman" w:hAnsi="Times New Roman" w:cs="Times New Roman"/>
          <w:b/>
          <w:lang w:val="es-ES_tradnl"/>
        </w:rPr>
      </w:pPr>
    </w:p>
    <w:p w:rsidR="009B483B" w:rsidRDefault="009B483B" w:rsidP="00E62300">
      <w:pPr>
        <w:spacing w:line="240" w:lineRule="auto"/>
        <w:jc w:val="both"/>
        <w:rPr>
          <w:rFonts w:ascii="Times New Roman" w:hAnsi="Times New Roman" w:cs="Times New Roman"/>
          <w:b/>
          <w:lang w:val="es-MX"/>
        </w:rPr>
      </w:pPr>
    </w:p>
    <w:p w:rsidR="00E62300" w:rsidRDefault="00E62300" w:rsidP="00E62300">
      <w:pPr>
        <w:spacing w:line="240" w:lineRule="auto"/>
        <w:jc w:val="both"/>
        <w:rPr>
          <w:rFonts w:ascii="Times New Roman" w:hAnsi="Times New Roman" w:cs="Times New Roman"/>
          <w:b/>
          <w:lang w:val="es-MX"/>
        </w:rPr>
      </w:pPr>
    </w:p>
    <w:p w:rsidR="00E62300" w:rsidRDefault="00E62300" w:rsidP="00E62300">
      <w:pPr>
        <w:spacing w:line="240" w:lineRule="auto"/>
        <w:jc w:val="both"/>
        <w:rPr>
          <w:rFonts w:ascii="Times New Roman" w:hAnsi="Times New Roman" w:cs="Times New Roman"/>
          <w:b/>
          <w:lang w:val="es-MX"/>
        </w:rPr>
      </w:pPr>
    </w:p>
    <w:p w:rsidR="00E62300" w:rsidRPr="00E62300" w:rsidRDefault="00E62300" w:rsidP="00E62300">
      <w:pPr>
        <w:spacing w:line="240" w:lineRule="auto"/>
        <w:jc w:val="both"/>
        <w:rPr>
          <w:rFonts w:ascii="Times New Roman" w:hAnsi="Times New Roman" w:cs="Times New Roman"/>
          <w:b/>
          <w:lang w:val="es-MX"/>
        </w:rPr>
      </w:pPr>
    </w:p>
    <w:p w:rsidR="00571508" w:rsidRPr="00E62300" w:rsidRDefault="00571508" w:rsidP="00E62300">
      <w:pPr>
        <w:spacing w:line="240" w:lineRule="auto"/>
        <w:jc w:val="both"/>
        <w:rPr>
          <w:rFonts w:ascii="Times New Roman" w:hAnsi="Times New Roman" w:cs="Times New Roman"/>
          <w:b/>
          <w:lang w:val="es-MX"/>
        </w:rPr>
      </w:pPr>
      <w:r w:rsidRPr="00E62300">
        <w:rPr>
          <w:rFonts w:ascii="Times New Roman" w:hAnsi="Times New Roman" w:cs="Times New Roman"/>
          <w:b/>
          <w:lang w:val="es-MX"/>
        </w:rPr>
        <w:t>CRONOGRAMA</w:t>
      </w:r>
    </w:p>
    <w:p w:rsidR="00571508" w:rsidRPr="00E62300" w:rsidRDefault="00571508" w:rsidP="00E62300">
      <w:pPr>
        <w:spacing w:line="240" w:lineRule="auto"/>
        <w:jc w:val="both"/>
        <w:rPr>
          <w:rFonts w:ascii="Times New Roman" w:hAnsi="Times New Roman" w:cs="Times New Roman"/>
          <w:b/>
          <w:lang w:val="es-MX"/>
        </w:rPr>
      </w:pPr>
    </w:p>
    <w:p w:rsidR="009B483B" w:rsidRPr="00E62300" w:rsidRDefault="009B483B" w:rsidP="00E62300">
      <w:pPr>
        <w:spacing w:line="240" w:lineRule="auto"/>
        <w:rPr>
          <w:rFonts w:ascii="Times New Roman" w:hAnsi="Times New Roman" w:cs="Times New Roman"/>
          <w:b/>
          <w:sz w:val="20"/>
        </w:rPr>
      </w:pPr>
    </w:p>
    <w:sectPr w:rsidR="009B483B" w:rsidRPr="00E62300" w:rsidSect="003244E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F1637"/>
    <w:multiLevelType w:val="hybridMultilevel"/>
    <w:tmpl w:val="7CECF84C"/>
    <w:lvl w:ilvl="0" w:tplc="21064C34">
      <w:start w:val="1"/>
      <w:numFmt w:val="lowerLetter"/>
      <w:lvlText w:val="%1)"/>
      <w:lvlJc w:val="left"/>
      <w:pPr>
        <w:ind w:left="720" w:hanging="360"/>
      </w:pPr>
      <w:rPr>
        <w:color w:val="auto"/>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9F84C21"/>
    <w:multiLevelType w:val="hybridMultilevel"/>
    <w:tmpl w:val="8456453C"/>
    <w:lvl w:ilvl="0" w:tplc="9F864B70">
      <w:start w:val="1"/>
      <w:numFmt w:val="decimal"/>
      <w:lvlText w:val="%1)"/>
      <w:lvlJc w:val="left"/>
      <w:pPr>
        <w:ind w:left="720" w:hanging="360"/>
      </w:pPr>
      <w:rPr>
        <w:rFonts w:hint="default"/>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2C7D7991"/>
    <w:multiLevelType w:val="hybridMultilevel"/>
    <w:tmpl w:val="685AB6B0"/>
    <w:lvl w:ilvl="0" w:tplc="0C0A0019">
      <w:start w:val="1"/>
      <w:numFmt w:val="lowerLetter"/>
      <w:lvlText w:val="%1."/>
      <w:lvlJc w:val="left"/>
      <w:pPr>
        <w:ind w:left="360" w:hanging="360"/>
      </w:pPr>
      <w:rPr>
        <w:b w:val="0"/>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3">
    <w:nsid w:val="2CC71808"/>
    <w:multiLevelType w:val="hybridMultilevel"/>
    <w:tmpl w:val="55BC5E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4D70053D"/>
    <w:multiLevelType w:val="hybridMultilevel"/>
    <w:tmpl w:val="DBFCE2E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6EE4"/>
    <w:rsid w:val="0000581C"/>
    <w:rsid w:val="0002333E"/>
    <w:rsid w:val="00040970"/>
    <w:rsid w:val="00056E76"/>
    <w:rsid w:val="0008123D"/>
    <w:rsid w:val="000B298C"/>
    <w:rsid w:val="000C1F08"/>
    <w:rsid w:val="000C6751"/>
    <w:rsid w:val="000E5995"/>
    <w:rsid w:val="001D15B4"/>
    <w:rsid w:val="00216EE4"/>
    <w:rsid w:val="0024210C"/>
    <w:rsid w:val="00264722"/>
    <w:rsid w:val="00264D16"/>
    <w:rsid w:val="002857ED"/>
    <w:rsid w:val="002C4B9D"/>
    <w:rsid w:val="003244EE"/>
    <w:rsid w:val="00352896"/>
    <w:rsid w:val="003A0D4A"/>
    <w:rsid w:val="003B02DA"/>
    <w:rsid w:val="00415675"/>
    <w:rsid w:val="00441748"/>
    <w:rsid w:val="0055570D"/>
    <w:rsid w:val="00571508"/>
    <w:rsid w:val="005916BC"/>
    <w:rsid w:val="00591EB0"/>
    <w:rsid w:val="005B0249"/>
    <w:rsid w:val="005D593A"/>
    <w:rsid w:val="006121EE"/>
    <w:rsid w:val="00665D14"/>
    <w:rsid w:val="00680981"/>
    <w:rsid w:val="006E4473"/>
    <w:rsid w:val="007150E7"/>
    <w:rsid w:val="007512DA"/>
    <w:rsid w:val="007A7B06"/>
    <w:rsid w:val="007F011D"/>
    <w:rsid w:val="00801F03"/>
    <w:rsid w:val="008116A3"/>
    <w:rsid w:val="008166F8"/>
    <w:rsid w:val="008B38EA"/>
    <w:rsid w:val="00902E68"/>
    <w:rsid w:val="00945DD3"/>
    <w:rsid w:val="009B1E0B"/>
    <w:rsid w:val="009B483B"/>
    <w:rsid w:val="009D5273"/>
    <w:rsid w:val="009F55C2"/>
    <w:rsid w:val="00A275A1"/>
    <w:rsid w:val="00A35291"/>
    <w:rsid w:val="00A4500A"/>
    <w:rsid w:val="00A72281"/>
    <w:rsid w:val="00AA45C5"/>
    <w:rsid w:val="00AA77F0"/>
    <w:rsid w:val="00AD3342"/>
    <w:rsid w:val="00AD43D2"/>
    <w:rsid w:val="00AF0F0C"/>
    <w:rsid w:val="00B01AC7"/>
    <w:rsid w:val="00B05C24"/>
    <w:rsid w:val="00B16A17"/>
    <w:rsid w:val="00B47D86"/>
    <w:rsid w:val="00B95910"/>
    <w:rsid w:val="00BB2310"/>
    <w:rsid w:val="00BB67F0"/>
    <w:rsid w:val="00BD2732"/>
    <w:rsid w:val="00C079E1"/>
    <w:rsid w:val="00CE28E4"/>
    <w:rsid w:val="00D025AB"/>
    <w:rsid w:val="00D0270E"/>
    <w:rsid w:val="00D117DC"/>
    <w:rsid w:val="00D34A1C"/>
    <w:rsid w:val="00D461D3"/>
    <w:rsid w:val="00D54A14"/>
    <w:rsid w:val="00DE0CD9"/>
    <w:rsid w:val="00DF151B"/>
    <w:rsid w:val="00DF2AE5"/>
    <w:rsid w:val="00E2217B"/>
    <w:rsid w:val="00E5553A"/>
    <w:rsid w:val="00E62300"/>
    <w:rsid w:val="00ED0BC7"/>
    <w:rsid w:val="00EF5B8B"/>
    <w:rsid w:val="00F0374A"/>
    <w:rsid w:val="00F4147A"/>
    <w:rsid w:val="00FE62D4"/>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4E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DE0CD9"/>
    <w:pPr>
      <w:suppressAutoHyphens/>
      <w:ind w:left="720"/>
    </w:pPr>
    <w:rPr>
      <w:rFonts w:ascii="Calibri" w:eastAsia="Calibri" w:hAnsi="Calibri" w:cs="Calibri"/>
      <w:lang w:val="es-ES" w:eastAsia="ar-SA"/>
    </w:rPr>
  </w:style>
  <w:style w:type="paragraph" w:styleId="NormalWeb">
    <w:name w:val="Normal (Web)"/>
    <w:basedOn w:val="Normal"/>
    <w:uiPriority w:val="99"/>
    <w:rsid w:val="00DE0CD9"/>
    <w:pPr>
      <w:widowControl w:val="0"/>
      <w:suppressAutoHyphens/>
      <w:spacing w:before="280" w:after="280" w:line="240" w:lineRule="auto"/>
    </w:pPr>
    <w:rPr>
      <w:rFonts w:ascii="Times New Roman" w:eastAsia="Arial Unicode MS" w:hAnsi="Times New Roman" w:cs="Times New Roman"/>
      <w:kern w:val="1"/>
      <w:sz w:val="24"/>
      <w:szCs w:val="24"/>
      <w:lang w:val="en-US" w:eastAsia="ar-SA"/>
    </w:rPr>
  </w:style>
  <w:style w:type="paragraph" w:customStyle="1" w:styleId="Default">
    <w:name w:val="Default"/>
    <w:rsid w:val="00DE0CD9"/>
    <w:pPr>
      <w:autoSpaceDE w:val="0"/>
      <w:autoSpaceDN w:val="0"/>
      <w:adjustRightInd w:val="0"/>
      <w:spacing w:after="0" w:line="240" w:lineRule="auto"/>
    </w:pPr>
    <w:rPr>
      <w:rFonts w:ascii="Times New Roman" w:eastAsia="Times New Roman" w:hAnsi="Times New Roman" w:cs="Times New Roman"/>
      <w:color w:val="000000"/>
      <w:sz w:val="24"/>
      <w:szCs w:val="24"/>
      <w:lang w:eastAsia="es-EC"/>
    </w:rPr>
  </w:style>
  <w:style w:type="table" w:styleId="Tablaconcuadrcula">
    <w:name w:val="Table Grid"/>
    <w:basedOn w:val="Tablanormal"/>
    <w:uiPriority w:val="59"/>
    <w:rsid w:val="000C67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959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9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chidalgo</dc:creator>
  <cp:lastModifiedBy>chidalgo</cp:lastModifiedBy>
  <cp:revision>2</cp:revision>
  <dcterms:created xsi:type="dcterms:W3CDTF">2018-12-17T20:04:00Z</dcterms:created>
  <dcterms:modified xsi:type="dcterms:W3CDTF">2018-12-17T20:04:00Z</dcterms:modified>
</cp:coreProperties>
</file>