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6F2" w:rsidRDefault="00D507A5" w:rsidP="00746CD3">
      <w:pPr>
        <w:spacing w:after="0" w:line="240" w:lineRule="auto"/>
        <w:jc w:val="center"/>
        <w:rPr>
          <w:b/>
        </w:rPr>
      </w:pPr>
      <w:r>
        <w:rPr>
          <w:b/>
        </w:rPr>
        <w:t>COMITÉ POLÍ</w:t>
      </w:r>
      <w:r w:rsidR="006636F2">
        <w:rPr>
          <w:b/>
        </w:rPr>
        <w:t>TICA PRODUCTIVA</w:t>
      </w:r>
    </w:p>
    <w:p w:rsidR="00C64A96" w:rsidRDefault="0098433E" w:rsidP="00746CD3">
      <w:pPr>
        <w:spacing w:after="0" w:line="240" w:lineRule="auto"/>
        <w:jc w:val="center"/>
        <w:rPr>
          <w:b/>
        </w:rPr>
      </w:pPr>
      <w:r>
        <w:rPr>
          <w:b/>
        </w:rPr>
        <w:t>“</w:t>
      </w:r>
      <w:r w:rsidR="00D673AA" w:rsidRPr="00D673AA">
        <w:rPr>
          <w:b/>
        </w:rPr>
        <w:t xml:space="preserve">EJE DE </w:t>
      </w:r>
      <w:r w:rsidR="00595A88">
        <w:rPr>
          <w:b/>
        </w:rPr>
        <w:t>INVERSIONES</w:t>
      </w:r>
      <w:r>
        <w:rPr>
          <w:b/>
        </w:rPr>
        <w:t>”</w:t>
      </w:r>
    </w:p>
    <w:p w:rsidR="00293943" w:rsidRDefault="00293943" w:rsidP="00746CD3">
      <w:pPr>
        <w:spacing w:after="0" w:line="240" w:lineRule="auto"/>
        <w:jc w:val="center"/>
        <w:rPr>
          <w:b/>
        </w:rPr>
      </w:pPr>
    </w:p>
    <w:p w:rsidR="00143A9F" w:rsidRDefault="00D26221" w:rsidP="00C93F9C">
      <w:pPr>
        <w:spacing w:after="0" w:line="240" w:lineRule="auto"/>
        <w:jc w:val="both"/>
        <w:rPr>
          <w:b/>
        </w:rPr>
      </w:pPr>
      <w:r>
        <w:rPr>
          <w:b/>
        </w:rPr>
        <w:t xml:space="preserve">I. </w:t>
      </w:r>
      <w:r w:rsidR="0039000E">
        <w:rPr>
          <w:b/>
        </w:rPr>
        <w:t>Objetivo</w:t>
      </w:r>
    </w:p>
    <w:p w:rsidR="0039000E" w:rsidRDefault="0039000E" w:rsidP="00C93F9C">
      <w:pPr>
        <w:spacing w:after="0" w:line="240" w:lineRule="auto"/>
        <w:jc w:val="both"/>
        <w:rPr>
          <w:b/>
        </w:rPr>
      </w:pPr>
    </w:p>
    <w:p w:rsidR="00746CD3" w:rsidRDefault="00A13276" w:rsidP="009756E3">
      <w:pPr>
        <w:pStyle w:val="Prrafodelista"/>
        <w:spacing w:after="0" w:line="240" w:lineRule="auto"/>
        <w:ind w:left="0"/>
        <w:jc w:val="both"/>
      </w:pPr>
      <w:r>
        <w:t>Incentivar la inversión nacional y extranjera, mejorando el clima de negocios para la generación y fortalecimiento de industrias, emprendimiento y producción de bienes y servicios exportables diferenciados, potencializando vocaciones productivas territoriales.</w:t>
      </w:r>
    </w:p>
    <w:p w:rsidR="00A13276" w:rsidRDefault="00A13276" w:rsidP="009756E3">
      <w:pPr>
        <w:pStyle w:val="Prrafodelista"/>
        <w:spacing w:after="0" w:line="240" w:lineRule="auto"/>
        <w:ind w:left="0"/>
        <w:jc w:val="both"/>
      </w:pPr>
    </w:p>
    <w:p w:rsidR="00BF138E" w:rsidRPr="007A2F0E" w:rsidRDefault="00BF138E" w:rsidP="00746CD3">
      <w:pPr>
        <w:pStyle w:val="Prrafodelista"/>
        <w:spacing w:after="0" w:line="240" w:lineRule="auto"/>
        <w:jc w:val="both"/>
      </w:pPr>
    </w:p>
    <w:p w:rsidR="007A2F0E" w:rsidRDefault="00D26221" w:rsidP="00C93F9C">
      <w:pPr>
        <w:spacing w:after="0" w:line="240" w:lineRule="auto"/>
        <w:jc w:val="both"/>
        <w:rPr>
          <w:b/>
        </w:rPr>
      </w:pPr>
      <w:r>
        <w:rPr>
          <w:b/>
        </w:rPr>
        <w:t xml:space="preserve">II. </w:t>
      </w:r>
      <w:r w:rsidR="00F81E1E">
        <w:rPr>
          <w:b/>
        </w:rPr>
        <w:t xml:space="preserve">Objetivo </w:t>
      </w:r>
      <w:r w:rsidR="007A2F0E">
        <w:rPr>
          <w:b/>
        </w:rPr>
        <w:t>Específicos</w:t>
      </w:r>
    </w:p>
    <w:p w:rsidR="009756E3" w:rsidRDefault="009756E3" w:rsidP="00C93F9C">
      <w:pPr>
        <w:spacing w:after="0" w:line="240" w:lineRule="auto"/>
        <w:jc w:val="both"/>
        <w:rPr>
          <w:b/>
        </w:rPr>
      </w:pPr>
    </w:p>
    <w:p w:rsidR="00A91588" w:rsidRPr="00A91588" w:rsidRDefault="00A91588" w:rsidP="00A9158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C"/>
        </w:rPr>
      </w:pPr>
      <w:r w:rsidRPr="00A91588">
        <w:rPr>
          <w:lang w:val="es-EC"/>
        </w:rPr>
        <w:t>Promover instrumentos de fomento a la inversión (COPCI, APP, Leyes)</w:t>
      </w:r>
    </w:p>
    <w:p w:rsidR="00A91588" w:rsidRPr="00A91588" w:rsidRDefault="00A91588" w:rsidP="00A9158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C"/>
        </w:rPr>
      </w:pPr>
      <w:r w:rsidRPr="00A91588">
        <w:rPr>
          <w:lang w:val="es-EC"/>
        </w:rPr>
        <w:t>Impulsar Zonas Especiales de Desarrollo Económico (ZEDE), Parques Industriales y Tecnológicos y Clústers (Herramienta de política pública)</w:t>
      </w:r>
    </w:p>
    <w:p w:rsidR="00A91588" w:rsidRPr="00A91588" w:rsidRDefault="00A91588" w:rsidP="00A9158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C"/>
        </w:rPr>
      </w:pPr>
      <w:r w:rsidRPr="00A91588">
        <w:rPr>
          <w:lang w:val="es-EC"/>
        </w:rPr>
        <w:t>Convenios Bilaterales de Inversión y de Doble Tributación</w:t>
      </w:r>
    </w:p>
    <w:p w:rsidR="00A91588" w:rsidRPr="00A91588" w:rsidRDefault="00A91588" w:rsidP="00A9158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C"/>
        </w:rPr>
      </w:pPr>
      <w:r w:rsidRPr="00A91588">
        <w:rPr>
          <w:lang w:val="es-EC"/>
        </w:rPr>
        <w:t>Vincular posibilidades de inversión a programas públicos (Catálogo)</w:t>
      </w:r>
    </w:p>
    <w:p w:rsidR="006158E1" w:rsidRPr="00A91588" w:rsidRDefault="00A91588" w:rsidP="00A9158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b/>
          <w:lang w:val="es-EC"/>
        </w:rPr>
      </w:pPr>
      <w:r w:rsidRPr="00A91588">
        <w:rPr>
          <w:lang w:val="es-EC"/>
        </w:rPr>
        <w:t>Promover inversión para implementar Polos de Desarrollo Económico (herramienta de política pública)</w:t>
      </w:r>
    </w:p>
    <w:p w:rsidR="00A91588" w:rsidRPr="009756E3" w:rsidRDefault="00A91588" w:rsidP="00A91588">
      <w:pPr>
        <w:pStyle w:val="Prrafodelista"/>
        <w:spacing w:after="0" w:line="240" w:lineRule="auto"/>
        <w:ind w:left="360"/>
        <w:jc w:val="both"/>
        <w:rPr>
          <w:b/>
          <w:lang w:val="es-EC"/>
        </w:rPr>
      </w:pPr>
    </w:p>
    <w:p w:rsidR="001E5936" w:rsidRDefault="00D26221" w:rsidP="001E5936">
      <w:pPr>
        <w:spacing w:after="0" w:line="240" w:lineRule="auto"/>
        <w:jc w:val="both"/>
        <w:rPr>
          <w:b/>
        </w:rPr>
      </w:pPr>
      <w:r>
        <w:rPr>
          <w:b/>
        </w:rPr>
        <w:t xml:space="preserve">III. </w:t>
      </w:r>
      <w:r w:rsidR="001E5936">
        <w:rPr>
          <w:b/>
        </w:rPr>
        <w:t>Estrategias</w:t>
      </w:r>
    </w:p>
    <w:p w:rsidR="00BF138E" w:rsidRDefault="00BF138E" w:rsidP="00BF138E">
      <w:pPr>
        <w:pStyle w:val="Prrafodelista"/>
        <w:spacing w:after="0" w:line="240" w:lineRule="auto"/>
        <w:ind w:left="1080"/>
        <w:jc w:val="both"/>
      </w:pPr>
    </w:p>
    <w:p w:rsidR="00FF219A" w:rsidRDefault="003E73EC" w:rsidP="00FF219A">
      <w:pPr>
        <w:pStyle w:val="Prrafodelista"/>
        <w:numPr>
          <w:ilvl w:val="0"/>
          <w:numId w:val="10"/>
        </w:numPr>
        <w:spacing w:after="0" w:line="240" w:lineRule="auto"/>
        <w:ind w:left="360"/>
        <w:jc w:val="both"/>
      </w:pPr>
      <w:r w:rsidRPr="003E73EC">
        <w:t>Fortalecer</w:t>
      </w:r>
      <w:r w:rsidR="00085462" w:rsidRPr="00085462">
        <w:t xml:space="preserve"> la base normativa que regula y coadyuva al desarrollo del clima de negocios ecuatoriano a nivel nacional e internacional para la atracción y generación de inversiones</w:t>
      </w:r>
      <w:r w:rsidR="00085462">
        <w:t>.</w:t>
      </w:r>
    </w:p>
    <w:p w:rsidR="00D26221" w:rsidRPr="00D26221" w:rsidRDefault="00D26221" w:rsidP="00D26221">
      <w:pPr>
        <w:spacing w:after="0" w:line="240" w:lineRule="auto"/>
        <w:jc w:val="both"/>
        <w:rPr>
          <w:b/>
        </w:rPr>
      </w:pPr>
    </w:p>
    <w:p w:rsidR="00D26221" w:rsidRDefault="001F31B3" w:rsidP="00D26221">
      <w:pPr>
        <w:spacing w:after="0" w:line="240" w:lineRule="auto"/>
        <w:jc w:val="both"/>
        <w:rPr>
          <w:b/>
        </w:rPr>
      </w:pPr>
      <w:r>
        <w:rPr>
          <w:b/>
        </w:rPr>
        <w:t xml:space="preserve">IV. </w:t>
      </w:r>
      <w:r w:rsidR="00D26221">
        <w:rPr>
          <w:b/>
        </w:rPr>
        <w:t>Instrumentos</w:t>
      </w:r>
    </w:p>
    <w:p w:rsidR="00F86C44" w:rsidRDefault="00F86C44" w:rsidP="00D26221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4392"/>
        <w:gridCol w:w="4393"/>
      </w:tblGrid>
      <w:tr w:rsidR="00F86C44" w:rsidTr="005531E0">
        <w:tc>
          <w:tcPr>
            <w:tcW w:w="4392" w:type="dxa"/>
            <w:vAlign w:val="center"/>
          </w:tcPr>
          <w:p w:rsidR="00F86C44" w:rsidRPr="00E1132E" w:rsidRDefault="00F86C44" w:rsidP="005531E0">
            <w:pPr>
              <w:jc w:val="center"/>
              <w:rPr>
                <w:rFonts w:eastAsia="Times New Roman" w:cs="Times New Roman"/>
                <w:b/>
                <w:bCs/>
                <w:lang w:eastAsia="es-EC"/>
              </w:rPr>
            </w:pPr>
            <w:r w:rsidRPr="00E1132E">
              <w:rPr>
                <w:rFonts w:eastAsia="Times New Roman" w:cs="Times New Roman"/>
                <w:b/>
                <w:bCs/>
                <w:lang w:eastAsia="es-EC"/>
              </w:rPr>
              <w:t>Estrategias</w:t>
            </w:r>
          </w:p>
        </w:tc>
        <w:tc>
          <w:tcPr>
            <w:tcW w:w="4393" w:type="dxa"/>
            <w:vAlign w:val="center"/>
          </w:tcPr>
          <w:p w:rsidR="00F86C44" w:rsidRPr="00E1132E" w:rsidRDefault="00F86C44" w:rsidP="005531E0">
            <w:pPr>
              <w:jc w:val="center"/>
              <w:rPr>
                <w:rFonts w:eastAsia="Times New Roman" w:cs="Times New Roman"/>
                <w:b/>
                <w:bCs/>
                <w:lang w:eastAsia="es-EC"/>
              </w:rPr>
            </w:pPr>
            <w:r w:rsidRPr="00E1132E">
              <w:rPr>
                <w:rFonts w:eastAsia="Times New Roman" w:cs="Times New Roman"/>
                <w:b/>
                <w:bCs/>
                <w:lang w:eastAsia="es-EC"/>
              </w:rPr>
              <w:t>Instrumentos</w:t>
            </w:r>
          </w:p>
        </w:tc>
      </w:tr>
      <w:tr w:rsidR="00FF219A" w:rsidTr="00F86C44">
        <w:trPr>
          <w:trHeight w:val="653"/>
        </w:trPr>
        <w:tc>
          <w:tcPr>
            <w:tcW w:w="4392" w:type="dxa"/>
            <w:vMerge w:val="restart"/>
            <w:vAlign w:val="center"/>
          </w:tcPr>
          <w:p w:rsidR="00FF219A" w:rsidRDefault="00FF219A" w:rsidP="00516423">
            <w:pPr>
              <w:rPr>
                <w:b/>
              </w:rPr>
            </w:pPr>
            <w:r w:rsidRPr="00FF219A">
              <w:rPr>
                <w:b/>
              </w:rPr>
              <w:t>Elaboración y/o institución del marco normativo de regulación y aplicación de la inversión en el Ecuador</w:t>
            </w:r>
          </w:p>
        </w:tc>
        <w:tc>
          <w:tcPr>
            <w:tcW w:w="4393" w:type="dxa"/>
            <w:vAlign w:val="center"/>
          </w:tcPr>
          <w:p w:rsidR="00FF219A" w:rsidRPr="00E1132E" w:rsidRDefault="00FF219A" w:rsidP="005531E0">
            <w:pPr>
              <w:jc w:val="both"/>
              <w:rPr>
                <w:rFonts w:eastAsia="Times New Roman" w:cs="Times New Roman"/>
                <w:lang w:eastAsia="es-EC"/>
              </w:rPr>
            </w:pPr>
            <w:r w:rsidRPr="00FF219A">
              <w:rPr>
                <w:rFonts w:eastAsia="Times New Roman" w:cs="Times New Roman"/>
                <w:lang w:eastAsia="es-EC"/>
              </w:rPr>
              <w:t>Emisión del Decreto Ejecutivo 252 que Declara Política de Estado la Atracción y Promoción de Inversión</w:t>
            </w:r>
          </w:p>
        </w:tc>
      </w:tr>
      <w:tr w:rsidR="00FF219A" w:rsidTr="00F86C44">
        <w:trPr>
          <w:trHeight w:val="705"/>
        </w:trPr>
        <w:tc>
          <w:tcPr>
            <w:tcW w:w="4392" w:type="dxa"/>
            <w:vMerge/>
            <w:vAlign w:val="center"/>
          </w:tcPr>
          <w:p w:rsidR="00FF219A" w:rsidRDefault="00FF219A" w:rsidP="00F86C44">
            <w:pPr>
              <w:rPr>
                <w:b/>
              </w:rPr>
            </w:pPr>
          </w:p>
        </w:tc>
        <w:tc>
          <w:tcPr>
            <w:tcW w:w="4393" w:type="dxa"/>
            <w:vAlign w:val="center"/>
          </w:tcPr>
          <w:p w:rsidR="00FF219A" w:rsidRPr="00E1132E" w:rsidRDefault="00FF219A" w:rsidP="00491918">
            <w:pPr>
              <w:jc w:val="both"/>
              <w:rPr>
                <w:rFonts w:eastAsia="Times New Roman" w:cs="Times New Roman"/>
                <w:lang w:eastAsia="es-EC"/>
              </w:rPr>
            </w:pPr>
            <w:r w:rsidRPr="00FF219A">
              <w:rPr>
                <w:rFonts w:eastAsia="Times New Roman" w:cs="Times New Roman"/>
                <w:lang w:eastAsia="es-EC"/>
              </w:rPr>
              <w:t>Emisión de la Ley Orgánica para el Fomento Productivo, Atracción de Inversiones, Generación de Empleo, y Estabilidad y Equilibrio Fiscal</w:t>
            </w:r>
          </w:p>
        </w:tc>
      </w:tr>
      <w:tr w:rsidR="00FF219A" w:rsidTr="00F86C44">
        <w:trPr>
          <w:trHeight w:val="705"/>
        </w:trPr>
        <w:tc>
          <w:tcPr>
            <w:tcW w:w="4392" w:type="dxa"/>
            <w:vMerge/>
            <w:vAlign w:val="center"/>
          </w:tcPr>
          <w:p w:rsidR="00FF219A" w:rsidRDefault="00FF219A" w:rsidP="00F86C44">
            <w:pPr>
              <w:rPr>
                <w:b/>
              </w:rPr>
            </w:pPr>
          </w:p>
        </w:tc>
        <w:tc>
          <w:tcPr>
            <w:tcW w:w="4393" w:type="dxa"/>
            <w:vAlign w:val="center"/>
          </w:tcPr>
          <w:p w:rsidR="00FF219A" w:rsidRPr="00FF219A" w:rsidRDefault="00FF219A" w:rsidP="00491918">
            <w:pPr>
              <w:jc w:val="both"/>
              <w:rPr>
                <w:rFonts w:eastAsia="Times New Roman" w:cs="Times New Roman"/>
                <w:lang w:eastAsia="es-EC"/>
              </w:rPr>
            </w:pPr>
            <w:r w:rsidRPr="00FF219A">
              <w:rPr>
                <w:rFonts w:eastAsia="Times New Roman" w:cs="Times New Roman"/>
                <w:lang w:eastAsia="es-EC"/>
              </w:rPr>
              <w:t>Elaboración del Reglamento para la Ley Orgánica para Fomento Productivo (Potencialización de ZEDES, inversiones, beneficios tributarios)</w:t>
            </w:r>
          </w:p>
        </w:tc>
      </w:tr>
      <w:tr w:rsidR="00FF219A" w:rsidTr="00F86C44">
        <w:trPr>
          <w:trHeight w:val="705"/>
        </w:trPr>
        <w:tc>
          <w:tcPr>
            <w:tcW w:w="4392" w:type="dxa"/>
            <w:vMerge/>
            <w:vAlign w:val="center"/>
          </w:tcPr>
          <w:p w:rsidR="00FF219A" w:rsidRDefault="00FF219A" w:rsidP="00F86C44">
            <w:pPr>
              <w:rPr>
                <w:b/>
              </w:rPr>
            </w:pPr>
          </w:p>
        </w:tc>
        <w:tc>
          <w:tcPr>
            <w:tcW w:w="4393" w:type="dxa"/>
            <w:vAlign w:val="center"/>
          </w:tcPr>
          <w:p w:rsidR="00FF219A" w:rsidRPr="00FF219A" w:rsidRDefault="00FF219A" w:rsidP="00491918">
            <w:pPr>
              <w:jc w:val="both"/>
              <w:rPr>
                <w:rFonts w:eastAsia="Times New Roman" w:cs="Times New Roman"/>
                <w:lang w:eastAsia="es-EC"/>
              </w:rPr>
            </w:pPr>
            <w:r w:rsidRPr="00FF219A">
              <w:rPr>
                <w:rFonts w:eastAsia="Times New Roman" w:cs="Times New Roman"/>
                <w:lang w:eastAsia="es-EC"/>
              </w:rPr>
              <w:t>Elaboración de la Política Nacional de Inversiones</w:t>
            </w:r>
          </w:p>
        </w:tc>
      </w:tr>
      <w:tr w:rsidR="00FF219A" w:rsidTr="00F86C44">
        <w:trPr>
          <w:trHeight w:val="705"/>
        </w:trPr>
        <w:tc>
          <w:tcPr>
            <w:tcW w:w="4392" w:type="dxa"/>
            <w:vMerge w:val="restart"/>
            <w:vAlign w:val="center"/>
          </w:tcPr>
          <w:p w:rsidR="00FF219A" w:rsidRDefault="00FF219A" w:rsidP="00F86C44">
            <w:pPr>
              <w:rPr>
                <w:b/>
              </w:rPr>
            </w:pPr>
            <w:r w:rsidRPr="00FF219A">
              <w:rPr>
                <w:b/>
              </w:rPr>
              <w:t>Promoción de incentivos de la Ley</w:t>
            </w:r>
          </w:p>
        </w:tc>
        <w:tc>
          <w:tcPr>
            <w:tcW w:w="4393" w:type="dxa"/>
            <w:vAlign w:val="center"/>
          </w:tcPr>
          <w:p w:rsidR="00FF219A" w:rsidRDefault="00FF219A" w:rsidP="00491918">
            <w:pPr>
              <w:jc w:val="both"/>
              <w:rPr>
                <w:rFonts w:eastAsia="Times New Roman" w:cs="Times New Roman"/>
                <w:lang w:eastAsia="es-EC"/>
              </w:rPr>
            </w:pPr>
            <w:r w:rsidRPr="00FF219A">
              <w:rPr>
                <w:rFonts w:eastAsia="Times New Roman" w:cs="Times New Roman"/>
                <w:lang w:eastAsia="es-EC"/>
              </w:rPr>
              <w:t>Socialización de Incentivos para las nuevas inversiones</w:t>
            </w:r>
          </w:p>
        </w:tc>
      </w:tr>
      <w:tr w:rsidR="00FF219A" w:rsidTr="00F86C44">
        <w:trPr>
          <w:trHeight w:val="705"/>
        </w:trPr>
        <w:tc>
          <w:tcPr>
            <w:tcW w:w="4392" w:type="dxa"/>
            <w:vMerge/>
            <w:vAlign w:val="center"/>
          </w:tcPr>
          <w:p w:rsidR="00FF219A" w:rsidRPr="00FF219A" w:rsidRDefault="00FF219A" w:rsidP="00F86C44">
            <w:pPr>
              <w:rPr>
                <w:b/>
              </w:rPr>
            </w:pPr>
          </w:p>
        </w:tc>
        <w:tc>
          <w:tcPr>
            <w:tcW w:w="4393" w:type="dxa"/>
            <w:vAlign w:val="center"/>
          </w:tcPr>
          <w:p w:rsidR="00FF219A" w:rsidRDefault="00FF219A" w:rsidP="00491918">
            <w:pPr>
              <w:jc w:val="both"/>
              <w:rPr>
                <w:rFonts w:eastAsia="Times New Roman" w:cs="Times New Roman"/>
                <w:lang w:eastAsia="es-EC"/>
              </w:rPr>
            </w:pPr>
            <w:r w:rsidRPr="00FF219A">
              <w:rPr>
                <w:rFonts w:eastAsia="Times New Roman" w:cs="Times New Roman"/>
                <w:lang w:eastAsia="es-EC"/>
              </w:rPr>
              <w:t>Atención a solicitudes de Contratos de Inversión (COPCI y LOPFP)</w:t>
            </w:r>
          </w:p>
        </w:tc>
      </w:tr>
      <w:tr w:rsidR="00FF219A" w:rsidTr="00F86C44">
        <w:trPr>
          <w:trHeight w:val="705"/>
        </w:trPr>
        <w:tc>
          <w:tcPr>
            <w:tcW w:w="4392" w:type="dxa"/>
            <w:vMerge/>
            <w:vAlign w:val="center"/>
          </w:tcPr>
          <w:p w:rsidR="00FF219A" w:rsidRPr="00FF219A" w:rsidRDefault="00FF219A" w:rsidP="00F86C44">
            <w:pPr>
              <w:rPr>
                <w:b/>
              </w:rPr>
            </w:pPr>
          </w:p>
        </w:tc>
        <w:tc>
          <w:tcPr>
            <w:tcW w:w="4393" w:type="dxa"/>
            <w:vAlign w:val="center"/>
          </w:tcPr>
          <w:p w:rsidR="00FF219A" w:rsidRDefault="00FF219A" w:rsidP="00491918">
            <w:pPr>
              <w:jc w:val="both"/>
              <w:rPr>
                <w:rFonts w:eastAsia="Times New Roman" w:cs="Times New Roman"/>
                <w:lang w:eastAsia="es-EC"/>
              </w:rPr>
            </w:pPr>
            <w:r w:rsidRPr="00FF219A">
              <w:rPr>
                <w:rFonts w:eastAsia="Times New Roman" w:cs="Times New Roman"/>
                <w:lang w:eastAsia="es-EC"/>
              </w:rPr>
              <w:t>Estructuración del Catálogo de Inversiones Públicas y Privadas  (Priorización de proyectos)</w:t>
            </w:r>
          </w:p>
        </w:tc>
      </w:tr>
      <w:tr w:rsidR="00FF219A" w:rsidTr="00F86C44">
        <w:trPr>
          <w:trHeight w:val="705"/>
        </w:trPr>
        <w:tc>
          <w:tcPr>
            <w:tcW w:w="4392" w:type="dxa"/>
            <w:vMerge/>
            <w:vAlign w:val="center"/>
          </w:tcPr>
          <w:p w:rsidR="00FF219A" w:rsidRPr="00FF219A" w:rsidRDefault="00FF219A" w:rsidP="00F86C44">
            <w:pPr>
              <w:rPr>
                <w:b/>
              </w:rPr>
            </w:pPr>
          </w:p>
        </w:tc>
        <w:tc>
          <w:tcPr>
            <w:tcW w:w="4393" w:type="dxa"/>
            <w:vAlign w:val="center"/>
          </w:tcPr>
          <w:p w:rsidR="00FF219A" w:rsidRDefault="00FF219A" w:rsidP="00491918">
            <w:pPr>
              <w:jc w:val="both"/>
              <w:rPr>
                <w:rFonts w:eastAsia="Times New Roman" w:cs="Times New Roman"/>
                <w:lang w:eastAsia="es-EC"/>
              </w:rPr>
            </w:pPr>
            <w:r w:rsidRPr="00FF219A">
              <w:rPr>
                <w:rFonts w:eastAsia="Times New Roman" w:cs="Times New Roman"/>
                <w:lang w:eastAsia="es-EC"/>
              </w:rPr>
              <w:t>Seguimiento y Monitoreo de Contratos de Inversión firmados (evaluación del funcionamiento de los incentivos)</w:t>
            </w:r>
          </w:p>
        </w:tc>
      </w:tr>
      <w:tr w:rsidR="00FF219A" w:rsidTr="00F86C44">
        <w:trPr>
          <w:trHeight w:val="705"/>
        </w:trPr>
        <w:tc>
          <w:tcPr>
            <w:tcW w:w="4392" w:type="dxa"/>
            <w:vMerge w:val="restart"/>
            <w:vAlign w:val="center"/>
          </w:tcPr>
          <w:p w:rsidR="00FF219A" w:rsidRDefault="00FF219A" w:rsidP="00F86C44">
            <w:pPr>
              <w:rPr>
                <w:b/>
              </w:rPr>
            </w:pPr>
            <w:r w:rsidRPr="00FF219A">
              <w:rPr>
                <w:b/>
              </w:rPr>
              <w:t>Generación del Clima de Negocios relevante y favorable para la ejecución de las inversiones</w:t>
            </w:r>
          </w:p>
        </w:tc>
        <w:tc>
          <w:tcPr>
            <w:tcW w:w="4393" w:type="dxa"/>
            <w:vAlign w:val="center"/>
          </w:tcPr>
          <w:p w:rsidR="00FF219A" w:rsidRDefault="00FF219A" w:rsidP="00491918">
            <w:pPr>
              <w:jc w:val="both"/>
              <w:rPr>
                <w:rFonts w:eastAsia="Times New Roman" w:cs="Times New Roman"/>
                <w:lang w:eastAsia="es-EC"/>
              </w:rPr>
            </w:pPr>
            <w:r w:rsidRPr="00FF219A">
              <w:rPr>
                <w:rFonts w:eastAsia="Times New Roman" w:cs="Times New Roman"/>
                <w:lang w:eastAsia="es-EC"/>
              </w:rPr>
              <w:t>Implementación de la Ventanilla Única de Atención al Inversionista</w:t>
            </w:r>
          </w:p>
        </w:tc>
      </w:tr>
      <w:tr w:rsidR="00FF219A" w:rsidTr="00F86C44">
        <w:trPr>
          <w:trHeight w:val="705"/>
        </w:trPr>
        <w:tc>
          <w:tcPr>
            <w:tcW w:w="4392" w:type="dxa"/>
            <w:vMerge/>
            <w:vAlign w:val="center"/>
          </w:tcPr>
          <w:p w:rsidR="00FF219A" w:rsidRPr="00FF219A" w:rsidRDefault="00FF219A" w:rsidP="00F86C44">
            <w:pPr>
              <w:rPr>
                <w:b/>
              </w:rPr>
            </w:pPr>
          </w:p>
        </w:tc>
        <w:tc>
          <w:tcPr>
            <w:tcW w:w="4393" w:type="dxa"/>
            <w:vAlign w:val="center"/>
          </w:tcPr>
          <w:p w:rsidR="00FF219A" w:rsidRDefault="00FF219A" w:rsidP="00491918">
            <w:pPr>
              <w:jc w:val="both"/>
              <w:rPr>
                <w:rFonts w:eastAsia="Times New Roman" w:cs="Times New Roman"/>
                <w:lang w:eastAsia="es-EC"/>
              </w:rPr>
            </w:pPr>
            <w:r w:rsidRPr="00FF219A">
              <w:rPr>
                <w:rFonts w:eastAsia="Times New Roman" w:cs="Times New Roman"/>
                <w:lang w:eastAsia="es-EC"/>
              </w:rPr>
              <w:t>Promoción de ZEDES y Polos de Desarrollo</w:t>
            </w:r>
          </w:p>
        </w:tc>
      </w:tr>
    </w:tbl>
    <w:p w:rsidR="00491918" w:rsidRDefault="00491918" w:rsidP="001E5936">
      <w:pPr>
        <w:spacing w:after="0" w:line="240" w:lineRule="auto"/>
        <w:jc w:val="both"/>
        <w:rPr>
          <w:b/>
        </w:rPr>
      </w:pPr>
    </w:p>
    <w:p w:rsidR="000864FD" w:rsidRDefault="000864FD" w:rsidP="001E5936">
      <w:pPr>
        <w:spacing w:after="0" w:line="240" w:lineRule="auto"/>
        <w:jc w:val="both"/>
        <w:rPr>
          <w:b/>
        </w:rPr>
      </w:pPr>
      <w:r>
        <w:rPr>
          <w:b/>
        </w:rPr>
        <w:t>Institucionalidad</w:t>
      </w:r>
      <w:r w:rsidR="0008695D">
        <w:rPr>
          <w:b/>
        </w:rPr>
        <w:t xml:space="preserve"> </w:t>
      </w:r>
      <w:r w:rsidR="00ED3CAC">
        <w:rPr>
          <w:b/>
        </w:rPr>
        <w:t>&amp; Metodología</w:t>
      </w:r>
    </w:p>
    <w:p w:rsidR="005809DD" w:rsidRDefault="005809DD" w:rsidP="00003F4F">
      <w:pPr>
        <w:spacing w:after="0" w:line="240" w:lineRule="auto"/>
        <w:jc w:val="both"/>
      </w:pPr>
      <w:r>
        <w:t>El</w:t>
      </w:r>
      <w:r w:rsidRPr="005809DD">
        <w:t xml:space="preserve"> </w:t>
      </w:r>
      <w:r>
        <w:t>Ministro de Comercio Exterior e</w:t>
      </w:r>
      <w:r w:rsidRPr="005809DD">
        <w:t xml:space="preserve"> Inversiones</w:t>
      </w:r>
      <w:r>
        <w:t xml:space="preserve"> a través, de la </w:t>
      </w:r>
      <w:r w:rsidRPr="005809DD">
        <w:t>Subsecretaría de Inversiones</w:t>
      </w:r>
      <w:r>
        <w:t xml:space="preserve"> en debido cumplimiento de sus a</w:t>
      </w:r>
      <w:r w:rsidRPr="005809DD">
        <w:t>tribuciones y responsabilidades</w:t>
      </w:r>
      <w:r>
        <w:t xml:space="preserve">; y, en estricto cumplimiento del </w:t>
      </w:r>
      <w:r w:rsidR="00003F4F">
        <w:t>Decreto Ejecutivo 252 que Declara Política de Estado la Atracción y Promoción de Inversión</w:t>
      </w:r>
      <w:r>
        <w:t>,</w:t>
      </w:r>
      <w:r w:rsidR="00003F4F">
        <w:t xml:space="preserve"> y de la Ley Orgánica para el Fomento Productivo, Atracción de Inversiones, Generación de Empleo, y Estabilidad y Equilibrio Fiscal</w:t>
      </w:r>
      <w:r>
        <w:t xml:space="preserve">, actualmente se encuentra desarrollando y promoviendo </w:t>
      </w:r>
      <w:r w:rsidRPr="005809DD">
        <w:t xml:space="preserve">propuestas de políticas públicas para la mejora continua del clima de negocio </w:t>
      </w:r>
      <w:r>
        <w:t xml:space="preserve">ecuatoriano </w:t>
      </w:r>
      <w:r w:rsidRPr="005809DD">
        <w:t>a nivel nacional e internacional</w:t>
      </w:r>
      <w:r>
        <w:t xml:space="preserve"> con el firme propósito de coadyuvar a la </w:t>
      </w:r>
      <w:r w:rsidRPr="005809DD">
        <w:t xml:space="preserve">atracción </w:t>
      </w:r>
      <w:r>
        <w:t xml:space="preserve">y generación </w:t>
      </w:r>
      <w:r w:rsidRPr="005809DD">
        <w:t>de inversiones</w:t>
      </w:r>
      <w:r>
        <w:t xml:space="preserve"> con el </w:t>
      </w:r>
      <w:r w:rsidRPr="005809DD">
        <w:t>acompañamiento</w:t>
      </w:r>
      <w:r>
        <w:t xml:space="preserve"> correspondiente</w:t>
      </w:r>
      <w:r w:rsidRPr="005809DD">
        <w:t xml:space="preserve"> </w:t>
      </w:r>
      <w:r>
        <w:t>al inversionista así como también con la realización de procesos y mecanismos de</w:t>
      </w:r>
      <w:r w:rsidRPr="005809DD">
        <w:t xml:space="preserve"> control al inversionista en las etapas de pre-i</w:t>
      </w:r>
      <w:r>
        <w:t>nversión, inversión y operación.</w:t>
      </w:r>
    </w:p>
    <w:p w:rsidR="007E2C8E" w:rsidRDefault="007E2C8E" w:rsidP="00C93F9C">
      <w:pPr>
        <w:tabs>
          <w:tab w:val="left" w:pos="5108"/>
        </w:tabs>
        <w:spacing w:after="0" w:line="240" w:lineRule="auto"/>
        <w:jc w:val="both"/>
        <w:rPr>
          <w:b/>
        </w:rPr>
      </w:pPr>
    </w:p>
    <w:p w:rsidR="00ED3CAC" w:rsidRPr="00ED3CAC" w:rsidRDefault="00ED3CAC" w:rsidP="00C93F9C">
      <w:pPr>
        <w:tabs>
          <w:tab w:val="left" w:pos="5108"/>
        </w:tabs>
        <w:spacing w:after="0" w:line="240" w:lineRule="auto"/>
        <w:jc w:val="both"/>
        <w:rPr>
          <w:b/>
        </w:rPr>
      </w:pPr>
      <w:r w:rsidRPr="00ED3CAC">
        <w:rPr>
          <w:b/>
        </w:rPr>
        <w:t>Indicadores</w:t>
      </w:r>
    </w:p>
    <w:p w:rsidR="00ED3CAC" w:rsidRDefault="00ED3CAC" w:rsidP="00C93F9C">
      <w:pPr>
        <w:tabs>
          <w:tab w:val="left" w:pos="5108"/>
        </w:tabs>
        <w:spacing w:after="0" w:line="240" w:lineRule="auto"/>
        <w:jc w:val="both"/>
      </w:pPr>
    </w:p>
    <w:p w:rsidR="007A2F0E" w:rsidRPr="001B522A" w:rsidRDefault="007E2C8E" w:rsidP="00C93F9C">
      <w:pPr>
        <w:tabs>
          <w:tab w:val="left" w:pos="5108"/>
        </w:tabs>
        <w:spacing w:after="0" w:line="240" w:lineRule="auto"/>
        <w:jc w:val="both"/>
      </w:pPr>
      <w:r>
        <w:t>Los indicadores se irán desarrollando de acuerdo a</w:t>
      </w:r>
      <w:r w:rsidR="004D0A48">
        <w:t>l avance de</w:t>
      </w:r>
      <w:r>
        <w:t xml:space="preserve"> las diferentes mesas de trabajo</w:t>
      </w:r>
      <w:r w:rsidR="004D0A48">
        <w:t>,</w:t>
      </w:r>
      <w:r>
        <w:t xml:space="preserve"> entre los actores</w:t>
      </w:r>
      <w:r w:rsidR="00003F4F">
        <w:t xml:space="preserve"> públicos y privados afines a la inversión.</w:t>
      </w:r>
    </w:p>
    <w:p w:rsidR="00A63531" w:rsidRPr="001B522A" w:rsidRDefault="00A63531" w:rsidP="00C93F9C">
      <w:pPr>
        <w:tabs>
          <w:tab w:val="left" w:pos="5108"/>
        </w:tabs>
        <w:spacing w:after="0" w:line="240" w:lineRule="auto"/>
        <w:jc w:val="both"/>
      </w:pPr>
    </w:p>
    <w:sectPr w:rsidR="00A63531" w:rsidRPr="001B522A" w:rsidSect="00B80A56">
      <w:footerReference w:type="default" r:id="rId8"/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608" w:rsidRDefault="00355608" w:rsidP="0098433E">
      <w:pPr>
        <w:spacing w:after="0" w:line="240" w:lineRule="auto"/>
      </w:pPr>
      <w:r>
        <w:separator/>
      </w:r>
    </w:p>
  </w:endnote>
  <w:endnote w:type="continuationSeparator" w:id="1">
    <w:p w:rsidR="00355608" w:rsidRDefault="00355608" w:rsidP="0098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85783484"/>
      <w:docPartObj>
        <w:docPartGallery w:val="Page Numbers (Bottom of Page)"/>
        <w:docPartUnique/>
      </w:docPartObj>
    </w:sdtPr>
    <w:sdtContent>
      <w:p w:rsidR="005531E0" w:rsidRDefault="00B80F0F">
        <w:pPr>
          <w:pStyle w:val="Piedepgina"/>
          <w:jc w:val="center"/>
        </w:pPr>
        <w:fldSimple w:instr="PAGE   \* MERGEFORMAT">
          <w:r w:rsidR="00595A88">
            <w:rPr>
              <w:noProof/>
            </w:rPr>
            <w:t>1</w:t>
          </w:r>
        </w:fldSimple>
      </w:p>
    </w:sdtContent>
  </w:sdt>
  <w:p w:rsidR="005531E0" w:rsidRDefault="005531E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608" w:rsidRDefault="00355608" w:rsidP="0098433E">
      <w:pPr>
        <w:spacing w:after="0" w:line="240" w:lineRule="auto"/>
      </w:pPr>
      <w:r>
        <w:separator/>
      </w:r>
    </w:p>
  </w:footnote>
  <w:footnote w:type="continuationSeparator" w:id="1">
    <w:p w:rsidR="00355608" w:rsidRDefault="00355608" w:rsidP="0098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B76AB"/>
    <w:multiLevelType w:val="hybridMultilevel"/>
    <w:tmpl w:val="FE8E45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476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00A0005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B235F"/>
    <w:multiLevelType w:val="hybridMultilevel"/>
    <w:tmpl w:val="526EC08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3512D02"/>
    <w:multiLevelType w:val="hybridMultilevel"/>
    <w:tmpl w:val="BC2A1644"/>
    <w:lvl w:ilvl="0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68396E"/>
    <w:multiLevelType w:val="hybridMultilevel"/>
    <w:tmpl w:val="E0D29444"/>
    <w:lvl w:ilvl="0" w:tplc="5CD00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C2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E29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86E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927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5C0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C0A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5C6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5645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6206262"/>
    <w:multiLevelType w:val="hybridMultilevel"/>
    <w:tmpl w:val="381AAD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D5096B"/>
    <w:multiLevelType w:val="hybridMultilevel"/>
    <w:tmpl w:val="F4D05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97411"/>
    <w:multiLevelType w:val="hybridMultilevel"/>
    <w:tmpl w:val="E0B04AA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DA2F67"/>
    <w:multiLevelType w:val="hybridMultilevel"/>
    <w:tmpl w:val="8EA6DB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7A01B7"/>
    <w:multiLevelType w:val="hybridMultilevel"/>
    <w:tmpl w:val="FE7C71AC"/>
    <w:lvl w:ilvl="0" w:tplc="5346F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9EC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A97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989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E88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00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64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ECE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302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ABC42FA"/>
    <w:multiLevelType w:val="hybridMultilevel"/>
    <w:tmpl w:val="7EAC1288"/>
    <w:lvl w:ilvl="0" w:tplc="441E8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7C1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44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1CA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E4A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98B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D02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6E3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6EA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BE825E7"/>
    <w:multiLevelType w:val="hybridMultilevel"/>
    <w:tmpl w:val="A1EC81EC"/>
    <w:lvl w:ilvl="0" w:tplc="B874E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907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200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A9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6D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524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44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8A4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09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FA51413"/>
    <w:multiLevelType w:val="hybridMultilevel"/>
    <w:tmpl w:val="80606C16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2983F51"/>
    <w:multiLevelType w:val="hybridMultilevel"/>
    <w:tmpl w:val="7C2AE5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8263E9"/>
    <w:multiLevelType w:val="hybridMultilevel"/>
    <w:tmpl w:val="5FE0A7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9F58F6"/>
    <w:multiLevelType w:val="hybridMultilevel"/>
    <w:tmpl w:val="58F058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6F6201"/>
    <w:multiLevelType w:val="hybridMultilevel"/>
    <w:tmpl w:val="11A425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CA6195"/>
    <w:multiLevelType w:val="hybridMultilevel"/>
    <w:tmpl w:val="D8A4C30C"/>
    <w:lvl w:ilvl="0" w:tplc="1B669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CBB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69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0E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E2D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620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D48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764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A6D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0"/>
  </w:num>
  <w:num w:numId="8">
    <w:abstractNumId w:val="2"/>
  </w:num>
  <w:num w:numId="9">
    <w:abstractNumId w:val="15"/>
  </w:num>
  <w:num w:numId="10">
    <w:abstractNumId w:val="11"/>
  </w:num>
  <w:num w:numId="11">
    <w:abstractNumId w:val="6"/>
  </w:num>
  <w:num w:numId="12">
    <w:abstractNumId w:val="16"/>
  </w:num>
  <w:num w:numId="13">
    <w:abstractNumId w:val="8"/>
  </w:num>
  <w:num w:numId="14">
    <w:abstractNumId w:val="3"/>
  </w:num>
  <w:num w:numId="15">
    <w:abstractNumId w:val="9"/>
  </w:num>
  <w:num w:numId="16">
    <w:abstractNumId w:val="10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015B97"/>
    <w:rsid w:val="000019EC"/>
    <w:rsid w:val="00003F4F"/>
    <w:rsid w:val="00006D58"/>
    <w:rsid w:val="00012544"/>
    <w:rsid w:val="000130B7"/>
    <w:rsid w:val="000149BC"/>
    <w:rsid w:val="00015B97"/>
    <w:rsid w:val="00026E91"/>
    <w:rsid w:val="000313D7"/>
    <w:rsid w:val="00036678"/>
    <w:rsid w:val="000428A5"/>
    <w:rsid w:val="000462EB"/>
    <w:rsid w:val="0004662D"/>
    <w:rsid w:val="00047818"/>
    <w:rsid w:val="00060CB6"/>
    <w:rsid w:val="00061269"/>
    <w:rsid w:val="00063E2A"/>
    <w:rsid w:val="00071883"/>
    <w:rsid w:val="000724B4"/>
    <w:rsid w:val="0007284F"/>
    <w:rsid w:val="00085462"/>
    <w:rsid w:val="000864FD"/>
    <w:rsid w:val="0008695D"/>
    <w:rsid w:val="000B00FC"/>
    <w:rsid w:val="000D1C54"/>
    <w:rsid w:val="000D1FC1"/>
    <w:rsid w:val="000D7A8B"/>
    <w:rsid w:val="000D7B90"/>
    <w:rsid w:val="000E1E68"/>
    <w:rsid w:val="000F416A"/>
    <w:rsid w:val="000F5B30"/>
    <w:rsid w:val="000F689C"/>
    <w:rsid w:val="00104306"/>
    <w:rsid w:val="00124C14"/>
    <w:rsid w:val="001315EA"/>
    <w:rsid w:val="00140359"/>
    <w:rsid w:val="00143A9F"/>
    <w:rsid w:val="00157CDB"/>
    <w:rsid w:val="001636C1"/>
    <w:rsid w:val="0017763A"/>
    <w:rsid w:val="00187B52"/>
    <w:rsid w:val="001B01CF"/>
    <w:rsid w:val="001B522A"/>
    <w:rsid w:val="001B6EF2"/>
    <w:rsid w:val="001C79A0"/>
    <w:rsid w:val="001C7A80"/>
    <w:rsid w:val="001D293B"/>
    <w:rsid w:val="001E0056"/>
    <w:rsid w:val="001E5936"/>
    <w:rsid w:val="001F31B3"/>
    <w:rsid w:val="00200141"/>
    <w:rsid w:val="00214E9F"/>
    <w:rsid w:val="002165D4"/>
    <w:rsid w:val="00232322"/>
    <w:rsid w:val="002612AB"/>
    <w:rsid w:val="00274FAA"/>
    <w:rsid w:val="002823BA"/>
    <w:rsid w:val="00283089"/>
    <w:rsid w:val="0028613D"/>
    <w:rsid w:val="00293943"/>
    <w:rsid w:val="002A145E"/>
    <w:rsid w:val="002B6758"/>
    <w:rsid w:val="002C62AA"/>
    <w:rsid w:val="002D133E"/>
    <w:rsid w:val="002F769C"/>
    <w:rsid w:val="00317274"/>
    <w:rsid w:val="00320C9D"/>
    <w:rsid w:val="00331F78"/>
    <w:rsid w:val="00335A40"/>
    <w:rsid w:val="00340D76"/>
    <w:rsid w:val="00341497"/>
    <w:rsid w:val="00355608"/>
    <w:rsid w:val="00356051"/>
    <w:rsid w:val="003737D7"/>
    <w:rsid w:val="003872AC"/>
    <w:rsid w:val="0039000E"/>
    <w:rsid w:val="003A716A"/>
    <w:rsid w:val="003B7682"/>
    <w:rsid w:val="003C4E71"/>
    <w:rsid w:val="003D5783"/>
    <w:rsid w:val="003E2CEC"/>
    <w:rsid w:val="003E73EC"/>
    <w:rsid w:val="003F0D6F"/>
    <w:rsid w:val="00405421"/>
    <w:rsid w:val="00422574"/>
    <w:rsid w:val="00434190"/>
    <w:rsid w:val="00446C34"/>
    <w:rsid w:val="004603B0"/>
    <w:rsid w:val="00477339"/>
    <w:rsid w:val="00485570"/>
    <w:rsid w:val="00491918"/>
    <w:rsid w:val="004A3FDD"/>
    <w:rsid w:val="004A78FD"/>
    <w:rsid w:val="004B6EDA"/>
    <w:rsid w:val="004D0A48"/>
    <w:rsid w:val="004E6922"/>
    <w:rsid w:val="004E6972"/>
    <w:rsid w:val="004F445E"/>
    <w:rsid w:val="005042FB"/>
    <w:rsid w:val="00516423"/>
    <w:rsid w:val="00541307"/>
    <w:rsid w:val="005425C9"/>
    <w:rsid w:val="00547F15"/>
    <w:rsid w:val="005531E0"/>
    <w:rsid w:val="0055406D"/>
    <w:rsid w:val="0057676B"/>
    <w:rsid w:val="005809DD"/>
    <w:rsid w:val="005946FE"/>
    <w:rsid w:val="00595A88"/>
    <w:rsid w:val="005B79B2"/>
    <w:rsid w:val="005B7A5C"/>
    <w:rsid w:val="005C1846"/>
    <w:rsid w:val="005C32AB"/>
    <w:rsid w:val="005D354F"/>
    <w:rsid w:val="005E4BEB"/>
    <w:rsid w:val="005F1CB4"/>
    <w:rsid w:val="005F4550"/>
    <w:rsid w:val="005F740F"/>
    <w:rsid w:val="006158E1"/>
    <w:rsid w:val="00627AA2"/>
    <w:rsid w:val="0063276A"/>
    <w:rsid w:val="00662688"/>
    <w:rsid w:val="006636F2"/>
    <w:rsid w:val="00667337"/>
    <w:rsid w:val="0068268B"/>
    <w:rsid w:val="00696635"/>
    <w:rsid w:val="006A213F"/>
    <w:rsid w:val="006B5A77"/>
    <w:rsid w:val="006C54AA"/>
    <w:rsid w:val="006C5B71"/>
    <w:rsid w:val="006E0141"/>
    <w:rsid w:val="006E19E2"/>
    <w:rsid w:val="006E6586"/>
    <w:rsid w:val="006F16BE"/>
    <w:rsid w:val="006F35E3"/>
    <w:rsid w:val="00713BFE"/>
    <w:rsid w:val="007142C7"/>
    <w:rsid w:val="007242A5"/>
    <w:rsid w:val="007416AA"/>
    <w:rsid w:val="0074223D"/>
    <w:rsid w:val="00746CD3"/>
    <w:rsid w:val="007561AA"/>
    <w:rsid w:val="00763C6A"/>
    <w:rsid w:val="00771CFA"/>
    <w:rsid w:val="00777BB9"/>
    <w:rsid w:val="00780AB7"/>
    <w:rsid w:val="00780BFC"/>
    <w:rsid w:val="007A2F0E"/>
    <w:rsid w:val="007C2619"/>
    <w:rsid w:val="007E2C8E"/>
    <w:rsid w:val="007E39DF"/>
    <w:rsid w:val="00810130"/>
    <w:rsid w:val="008217C4"/>
    <w:rsid w:val="0082399F"/>
    <w:rsid w:val="008269CC"/>
    <w:rsid w:val="00835ECA"/>
    <w:rsid w:val="008367D1"/>
    <w:rsid w:val="00875071"/>
    <w:rsid w:val="008973F1"/>
    <w:rsid w:val="008A6BD5"/>
    <w:rsid w:val="008B28F3"/>
    <w:rsid w:val="008D2113"/>
    <w:rsid w:val="008D2E41"/>
    <w:rsid w:val="008E5DDB"/>
    <w:rsid w:val="00901F3C"/>
    <w:rsid w:val="009163ED"/>
    <w:rsid w:val="009302EE"/>
    <w:rsid w:val="00937DB9"/>
    <w:rsid w:val="009509A0"/>
    <w:rsid w:val="009557FF"/>
    <w:rsid w:val="0097050D"/>
    <w:rsid w:val="009756E3"/>
    <w:rsid w:val="00980419"/>
    <w:rsid w:val="00982D90"/>
    <w:rsid w:val="009842E2"/>
    <w:rsid w:val="0098433E"/>
    <w:rsid w:val="00987A4C"/>
    <w:rsid w:val="00996C68"/>
    <w:rsid w:val="00997ABA"/>
    <w:rsid w:val="009A09D5"/>
    <w:rsid w:val="009A217A"/>
    <w:rsid w:val="009A3D5D"/>
    <w:rsid w:val="009E4B8A"/>
    <w:rsid w:val="009E5E5F"/>
    <w:rsid w:val="00A0041D"/>
    <w:rsid w:val="00A05FCA"/>
    <w:rsid w:val="00A0671B"/>
    <w:rsid w:val="00A13276"/>
    <w:rsid w:val="00A20688"/>
    <w:rsid w:val="00A279CD"/>
    <w:rsid w:val="00A35124"/>
    <w:rsid w:val="00A63531"/>
    <w:rsid w:val="00A746E3"/>
    <w:rsid w:val="00A8275B"/>
    <w:rsid w:val="00A91588"/>
    <w:rsid w:val="00A920D7"/>
    <w:rsid w:val="00A9450F"/>
    <w:rsid w:val="00A97FE6"/>
    <w:rsid w:val="00AA005D"/>
    <w:rsid w:val="00AC61D9"/>
    <w:rsid w:val="00AD3F6B"/>
    <w:rsid w:val="00AE1A45"/>
    <w:rsid w:val="00AF4313"/>
    <w:rsid w:val="00B03E66"/>
    <w:rsid w:val="00B112E4"/>
    <w:rsid w:val="00B14CA4"/>
    <w:rsid w:val="00B36F8C"/>
    <w:rsid w:val="00B37AB1"/>
    <w:rsid w:val="00B4265D"/>
    <w:rsid w:val="00B45F66"/>
    <w:rsid w:val="00B539A6"/>
    <w:rsid w:val="00B5463F"/>
    <w:rsid w:val="00B55184"/>
    <w:rsid w:val="00B7205E"/>
    <w:rsid w:val="00B80A56"/>
    <w:rsid w:val="00B80F0F"/>
    <w:rsid w:val="00B966F1"/>
    <w:rsid w:val="00BB113B"/>
    <w:rsid w:val="00BB3BFC"/>
    <w:rsid w:val="00BF138E"/>
    <w:rsid w:val="00BF3BF5"/>
    <w:rsid w:val="00C23279"/>
    <w:rsid w:val="00C23F7B"/>
    <w:rsid w:val="00C32A37"/>
    <w:rsid w:val="00C41023"/>
    <w:rsid w:val="00C5394E"/>
    <w:rsid w:val="00C64A96"/>
    <w:rsid w:val="00C65AA0"/>
    <w:rsid w:val="00C66362"/>
    <w:rsid w:val="00C801D5"/>
    <w:rsid w:val="00C83809"/>
    <w:rsid w:val="00C93F9C"/>
    <w:rsid w:val="00CB0C88"/>
    <w:rsid w:val="00CB323E"/>
    <w:rsid w:val="00CB7769"/>
    <w:rsid w:val="00CD57F2"/>
    <w:rsid w:val="00CE3B0B"/>
    <w:rsid w:val="00CE3DFB"/>
    <w:rsid w:val="00D20ED4"/>
    <w:rsid w:val="00D26221"/>
    <w:rsid w:val="00D277C5"/>
    <w:rsid w:val="00D27921"/>
    <w:rsid w:val="00D507A5"/>
    <w:rsid w:val="00D673AA"/>
    <w:rsid w:val="00D7524B"/>
    <w:rsid w:val="00D80923"/>
    <w:rsid w:val="00D952B1"/>
    <w:rsid w:val="00DB037D"/>
    <w:rsid w:val="00DB5A5A"/>
    <w:rsid w:val="00DC50B0"/>
    <w:rsid w:val="00DE7855"/>
    <w:rsid w:val="00DF7735"/>
    <w:rsid w:val="00E00321"/>
    <w:rsid w:val="00E1132E"/>
    <w:rsid w:val="00E26674"/>
    <w:rsid w:val="00E51AE1"/>
    <w:rsid w:val="00E6163D"/>
    <w:rsid w:val="00E67127"/>
    <w:rsid w:val="00E96BF7"/>
    <w:rsid w:val="00EB2DF5"/>
    <w:rsid w:val="00ED3CAC"/>
    <w:rsid w:val="00F17B4F"/>
    <w:rsid w:val="00F204C2"/>
    <w:rsid w:val="00F334CA"/>
    <w:rsid w:val="00F33D2D"/>
    <w:rsid w:val="00F64E91"/>
    <w:rsid w:val="00F75971"/>
    <w:rsid w:val="00F81E1E"/>
    <w:rsid w:val="00F834CB"/>
    <w:rsid w:val="00F86C44"/>
    <w:rsid w:val="00F95E90"/>
    <w:rsid w:val="00FA0F4A"/>
    <w:rsid w:val="00FA36B0"/>
    <w:rsid w:val="00FB3EDB"/>
    <w:rsid w:val="00FC0649"/>
    <w:rsid w:val="00FC5CD4"/>
    <w:rsid w:val="00FD1623"/>
    <w:rsid w:val="00FE3701"/>
    <w:rsid w:val="00FF21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43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433E"/>
  </w:style>
  <w:style w:type="paragraph" w:styleId="Piedepgina">
    <w:name w:val="footer"/>
    <w:basedOn w:val="Normal"/>
    <w:link w:val="PiedepginaCar"/>
    <w:uiPriority w:val="99"/>
    <w:unhideWhenUsed/>
    <w:rsid w:val="009843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433E"/>
  </w:style>
  <w:style w:type="table" w:styleId="Tablaconcuadrcula">
    <w:name w:val="Table Grid"/>
    <w:basedOn w:val="Tablanormal"/>
    <w:uiPriority w:val="39"/>
    <w:rsid w:val="003872AC"/>
    <w:pPr>
      <w:spacing w:after="0" w:line="240" w:lineRule="auto"/>
    </w:pPr>
    <w:rPr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5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8E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E2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3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50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8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1900">
          <w:marLeft w:val="14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7577">
          <w:marLeft w:val="1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19948">
          <w:marLeft w:val="1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0324">
          <w:marLeft w:val="1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5027">
          <w:marLeft w:val="1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814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7860">
          <w:marLeft w:val="14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406">
          <w:marLeft w:val="14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541">
          <w:marLeft w:val="14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0579">
          <w:marLeft w:val="14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19EE0-4DB2-4146-AFCF-972E148B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López</dc:creator>
  <cp:lastModifiedBy>dgallardo</cp:lastModifiedBy>
  <cp:revision>2</cp:revision>
  <cp:lastPrinted>2018-10-10T22:47:00Z</cp:lastPrinted>
  <dcterms:created xsi:type="dcterms:W3CDTF">2018-10-15T20:36:00Z</dcterms:created>
  <dcterms:modified xsi:type="dcterms:W3CDTF">2018-10-15T20:36:00Z</dcterms:modified>
</cp:coreProperties>
</file>