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4E79"/>
          <w:sz w:val="44"/>
        </w:rPr>
        <w:t>Senior Invest CH</w:t>
      </w:r>
    </w:p>
    <w:p>
      <w:r>
        <w:rPr>
          <w:i/>
          <w:sz w:val="26"/>
        </w:rPr>
        <w:t>Sources des données &amp; méthodologie des calculs</w:t>
      </w:r>
    </w:p>
    <w:p>
      <w:r>
        <w:rPr>
          <w:sz w:val="20"/>
        </w:rPr>
        <w:t>Outil d'aide à la décision — investissement en hébergement senior, canton de Vaud</w:t>
      </w:r>
    </w:p>
    <w:p>
      <w:r>
        <w:rPr>
          <w:sz w:val="18"/>
        </w:rPr>
        <w:t>Document de référence — juin 2026</w:t>
      </w:r>
    </w:p>
    <w:p>
      <w:r>
        <w:rPr>
          <w:sz w:val="18"/>
        </w:rPr>
        <w:t xml:space="preserve">Code source du projet : </w:t>
      </w:r>
      <w:hyperlink r:id="rId9">
        <w:r>
          <w:rPr>
            <w:color w:val="0563C1"/>
            <w:u w:val="single"/>
          </w:rPr>
          <w:t>github.com/csgerwan/senior-invest-ch</w:t>
        </w:r>
      </w:hyperlink>
    </w:p>
    <w:p>
      <w:pPr>
        <w:spacing w:after="120"/>
      </w:pPr>
    </w:p>
    <w:p>
      <w:r>
        <w:rPr>
          <w:sz w:val="22"/>
        </w:rPr>
        <w:t>Toutes les données utilisées sont publiques, officielles, sourcées et datées. Chaque commune vaudoise est identifiée par son numéro OFS, clé qui relie l'ensemble des jeux de données entre eux. Ce document liste les sources exactes (liens cliquables) puis détaille les calculs effectués.</w:t>
      </w:r>
    </w:p>
    <w:p>
      <w:pPr>
        <w:pStyle w:val="Heading1"/>
      </w:pPr>
      <w:r>
        <w:rPr>
          <w:color w:val="1F4E79"/>
        </w:rPr>
        <w:t>1. Sources des données</w:t>
      </w:r>
    </w:p>
    <w:p>
      <w:pPr>
        <w:spacing w:after="40"/>
      </w:pPr>
      <w:r>
        <w:rPr>
          <w:b/>
          <w:i w:val="0"/>
          <w:sz w:val="24"/>
        </w:rPr>
        <w:t>Démographie &amp; géographie</w:t>
      </w:r>
    </w:p>
    <w:p>
      <w:pPr>
        <w:spacing w:before="120" w:after="40"/>
      </w:pPr>
      <w:r>
        <w:rPr>
          <w:b/>
          <w:sz w:val="22"/>
        </w:rPr>
        <w:t>• Population résidante permanente par âge et par commune (2024)</w:t>
      </w:r>
    </w:p>
    <w:p>
      <w:pPr>
        <w:spacing w:after="40"/>
        <w:ind w:left="280"/>
      </w:pPr>
      <w:r>
        <w:rPr>
          <w:i/>
          <w:sz w:val="20"/>
        </w:rPr>
        <w:t>Office fédéral de la statistique (OFS) — STAT-TAB, table px-x-0102010000_103.</w:t>
      </w:r>
    </w:p>
    <w:p>
      <w:pPr>
        <w:spacing w:after="40"/>
        <w:ind w:left="280"/>
      </w:pPr>
      <w:r>
        <w:rPr>
          <w:sz w:val="20"/>
        </w:rPr>
        <w:t xml:space="preserve">Table OFS : </w:t>
      </w:r>
      <w:hyperlink r:id="rId10">
        <w:r>
          <w:rPr>
            <w:color w:val="0563C1"/>
            <w:u w:val="single"/>
          </w:rPr>
          <w:t>https://www.pxweb.bfs.admin.ch/pxweb/fr/px-x-0102010000_103/</w:t>
        </w:r>
      </w:hyperlink>
    </w:p>
    <w:p>
      <w:pPr>
        <w:spacing w:after="40"/>
        <w:ind w:left="280"/>
      </w:pPr>
      <w:r>
        <w:rPr>
          <w:sz w:val="20"/>
        </w:rPr>
        <w:t xml:space="preserve">Portail population OFS : </w:t>
      </w:r>
      <w:hyperlink r:id="rId11">
        <w:r>
          <w:rPr>
            <w:color w:val="0563C1"/>
            <w:u w:val="single"/>
          </w:rPr>
          <w:t>https://www.bfs.admin.ch/bfs/fr/home/statistiques/population.html</w:t>
        </w:r>
      </w:hyperlink>
    </w:p>
    <w:p>
      <w:pPr>
        <w:spacing w:before="120" w:after="40"/>
      </w:pPr>
      <w:r>
        <w:rPr>
          <w:b/>
          <w:sz w:val="22"/>
        </w:rPr>
        <w:t>• Limites des communes vaudoises</w:t>
      </w:r>
    </w:p>
    <w:p>
      <w:pPr>
        <w:spacing w:after="40"/>
        <w:ind w:left="280"/>
      </w:pPr>
      <w:r>
        <w:rPr>
          <w:i/>
          <w:sz w:val="20"/>
        </w:rPr>
        <w:t>Découpage officiel OFS / swisstopo, diffusé via Opendatasoft.</w:t>
      </w:r>
    </w:p>
    <w:p>
      <w:pPr>
        <w:spacing w:after="40"/>
        <w:ind w:left="280"/>
      </w:pPr>
      <w:r>
        <w:rPr>
          <w:sz w:val="20"/>
        </w:rPr>
        <w:t xml:space="preserve">Jeu de données communes : </w:t>
      </w:r>
      <w:hyperlink r:id="rId12">
        <w:r>
          <w:rPr>
            <w:color w:val="0563C1"/>
            <w:u w:val="single"/>
          </w:rPr>
          <w:t>https://public.opendatasoft.com/explore/dataset/georef-switzerland-gemeinde/</w:t>
        </w:r>
      </w:hyperlink>
    </w:p>
    <w:p>
      <w:pPr>
        <w:spacing w:after="40"/>
        <w:ind w:left="280"/>
      </w:pPr>
      <w:r>
        <w:rPr>
          <w:sz w:val="20"/>
        </w:rPr>
        <w:t xml:space="preserve">Géoportail fédéral : </w:t>
      </w:r>
      <w:hyperlink r:id="rId13">
        <w:r>
          <w:rPr>
            <w:color w:val="0563C1"/>
            <w:u w:val="single"/>
          </w:rPr>
          <w:t>https://www.geo.admin.ch</w:t>
        </w:r>
      </w:hyperlink>
    </w:p>
    <w:p>
      <w:pPr>
        <w:spacing w:after="40"/>
      </w:pPr>
      <w:r>
        <w:rPr>
          <w:b/>
          <w:i w:val="0"/>
          <w:sz w:val="24"/>
        </w:rPr>
        <w:t>Concurrence — EMS (établissements médico-sociaux)</w:t>
      </w:r>
    </w:p>
    <w:p>
      <w:pPr>
        <w:spacing w:before="120" w:after="40"/>
      </w:pPr>
      <w:r>
        <w:rPr>
          <w:b/>
          <w:sz w:val="22"/>
        </w:rPr>
        <w:t>• Liste officielle des EMS vaudois et nombre de lits (2024)</w:t>
      </w:r>
    </w:p>
    <w:p>
      <w:pPr>
        <w:spacing w:after="40"/>
        <w:ind w:left="280"/>
      </w:pPr>
      <w:r>
        <w:rPr>
          <w:i/>
          <w:sz w:val="20"/>
        </w:rPr>
        <w:t>Canton de Vaud — Liste LAMal des EMS et divisions C (mandat 2024).</w:t>
      </w:r>
    </w:p>
    <w:p>
      <w:pPr>
        <w:spacing w:after="40"/>
        <w:ind w:left="280"/>
      </w:pPr>
      <w:r>
        <w:rPr>
          <w:sz w:val="20"/>
        </w:rPr>
        <w:t xml:space="preserve">PDF officiel vd.ch : </w:t>
      </w:r>
      <w:hyperlink r:id="rId14">
        <w:r>
          <w:rPr>
            <w:color w:val="0563C1"/>
            <w:u w:val="single"/>
          </w:rPr>
          <w:t>https://www.vd.ch/fileadmin/user_upload/themes/social/EMS/Professionnel/Tarifs_soho/Liste_LAMal_2024.pdf</w:t>
        </w:r>
      </w:hyperlink>
    </w:p>
    <w:p>
      <w:pPr>
        <w:spacing w:before="120" w:after="40"/>
      </w:pPr>
      <w:r>
        <w:rPr>
          <w:b/>
          <w:sz w:val="22"/>
        </w:rPr>
        <w:t>• Nombre de lits cantonal &amp; taux d'occupation</w:t>
      </w:r>
    </w:p>
    <w:p>
      <w:pPr>
        <w:spacing w:after="40"/>
        <w:ind w:left="280"/>
      </w:pPr>
      <w:r>
        <w:rPr>
          <w:i/>
          <w:sz w:val="20"/>
        </w:rPr>
        <w:t>INFOSAN — chiffres-clés de la santé vaudoise (6 986 lits ; occupation ~98 %).</w:t>
      </w:r>
    </w:p>
    <w:p>
      <w:pPr>
        <w:spacing w:after="40"/>
        <w:ind w:left="280"/>
      </w:pPr>
      <w:r>
        <w:rPr>
          <w:sz w:val="20"/>
        </w:rPr>
        <w:t xml:space="preserve">INFOSAN — EMS, lits : </w:t>
      </w:r>
      <w:hyperlink r:id="rId15">
        <w:r>
          <w:rPr>
            <w:color w:val="0563C1"/>
            <w:u w:val="single"/>
          </w:rPr>
          <w:t>https://infosan.vd.ch/chiffres-cles/ems-lits</w:t>
        </w:r>
      </w:hyperlink>
    </w:p>
    <w:p>
      <w:pPr>
        <w:spacing w:before="120" w:after="40"/>
      </w:pPr>
      <w:r>
        <w:rPr>
          <w:b/>
          <w:sz w:val="22"/>
        </w:rPr>
        <w:t>• Géolocalisation des EMS</w:t>
      </w:r>
    </w:p>
    <w:p>
      <w:pPr>
        <w:spacing w:after="40"/>
        <w:ind w:left="280"/>
      </w:pPr>
      <w:r>
        <w:rPr>
          <w:i/>
          <w:sz w:val="20"/>
        </w:rPr>
        <w:t>Coordonnées et adresses recoupées via trois sources publiques.</w:t>
      </w:r>
    </w:p>
    <w:p>
      <w:pPr>
        <w:spacing w:after="40"/>
        <w:ind w:left="280"/>
      </w:pPr>
      <w:r>
        <w:rPr>
          <w:sz w:val="20"/>
        </w:rPr>
        <w:t xml:space="preserve">OpenStreetMap : </w:t>
      </w:r>
      <w:hyperlink r:id="rId16">
        <w:r>
          <w:rPr>
            <w:color w:val="0563C1"/>
            <w:u w:val="single"/>
          </w:rPr>
          <w:t>https://www.openstreetmap.org</w:t>
        </w:r>
      </w:hyperlink>
    </w:p>
    <w:p>
      <w:pPr>
        <w:spacing w:after="40"/>
        <w:ind w:left="280"/>
      </w:pPr>
      <w:r>
        <w:rPr>
          <w:sz w:val="20"/>
        </w:rPr>
        <w:t xml:space="preserve">API officielle geo.admin : </w:t>
      </w:r>
      <w:hyperlink r:id="rId17">
        <w:r>
          <w:rPr>
            <w:color w:val="0563C1"/>
            <w:u w:val="single"/>
          </w:rPr>
          <w:t>https://api3.geo.admin.ch</w:t>
        </w:r>
      </w:hyperlink>
    </w:p>
    <w:p>
      <w:pPr>
        <w:spacing w:after="40"/>
        <w:ind w:left="280"/>
      </w:pPr>
      <w:r>
        <w:rPr>
          <w:sz w:val="20"/>
        </w:rPr>
        <w:t xml:space="preserve">Annuaire search.ch : </w:t>
      </w:r>
      <w:hyperlink r:id="rId18">
        <w:r>
          <w:rPr>
            <w:color w:val="0563C1"/>
            <w:u w:val="single"/>
          </w:rPr>
          <w:t>https://tel.search.ch</w:t>
        </w:r>
      </w:hyperlink>
    </w:p>
    <w:p>
      <w:pPr>
        <w:spacing w:after="40"/>
      </w:pPr>
      <w:r>
        <w:rPr>
          <w:b/>
          <w:i w:val="0"/>
          <w:sz w:val="24"/>
        </w:rPr>
        <w:t>Pouvoir d'achat</w:t>
      </w:r>
    </w:p>
    <w:p>
      <w:pPr>
        <w:spacing w:before="120" w:after="40"/>
      </w:pPr>
      <w:r>
        <w:rPr>
          <w:b/>
          <w:sz w:val="22"/>
        </w:rPr>
        <w:t>• Revenu par commune (impôt fédéral direct, 2022)</w:t>
      </w:r>
    </w:p>
    <w:p>
      <w:pPr>
        <w:spacing w:after="40"/>
        <w:ind w:left="280"/>
      </w:pPr>
      <w:r>
        <w:rPr>
          <w:i/>
          <w:sz w:val="20"/>
        </w:rPr>
        <w:t>Administration fédérale des contributions (AFC/ESTV) — statistique IFD des personnes physiques, par commune.</w:t>
      </w:r>
    </w:p>
    <w:p>
      <w:pPr>
        <w:spacing w:after="40"/>
        <w:ind w:left="280"/>
      </w:pPr>
      <w:r>
        <w:rPr>
          <w:sz w:val="20"/>
        </w:rPr>
        <w:t xml:space="preserve">ESTV — IFD par commune : </w:t>
      </w:r>
      <w:hyperlink r:id="rId19">
        <w:r>
          <w:rPr>
            <w:color w:val="0563C1"/>
            <w:u w:val="single"/>
          </w:rPr>
          <w:t>https://www.estv.admin.ch/estv/fr/accueil/afc/statistiques-fiscales/statistiques-fiscales-general/statistiques-impot-federal-direct/ifd-pp-communes-depuis-1983.html</w:t>
        </w:r>
      </w:hyperlink>
    </w:p>
    <w:p>
      <w:pPr>
        <w:spacing w:before="120" w:after="40"/>
      </w:pPr>
      <w:r>
        <w:rPr>
          <w:b/>
          <w:sz w:val="22"/>
        </w:rPr>
        <w:t>• Charge fiscale — coefficient d'impôt communal (2026)</w:t>
      </w:r>
    </w:p>
    <w:p>
      <w:pPr>
        <w:spacing w:after="40"/>
        <w:ind w:left="280"/>
      </w:pPr>
      <w:r>
        <w:rPr>
          <w:i/>
          <w:sz w:val="20"/>
        </w:rPr>
        <w:t>Canton de Vaud — arrêtés d'imposition / tableaux des impôts communaux.</w:t>
      </w:r>
    </w:p>
    <w:p>
      <w:pPr>
        <w:spacing w:after="40"/>
        <w:ind w:left="280"/>
      </w:pPr>
      <w:r>
        <w:rPr>
          <w:sz w:val="20"/>
        </w:rPr>
        <w:t xml:space="preserve">vd.ch — taux des impôts communaux : </w:t>
      </w:r>
      <w:hyperlink r:id="rId20">
        <w:r>
          <w:rPr>
            <w:color w:val="0563C1"/>
            <w:u w:val="single"/>
          </w:rPr>
          <w:t>https://www.vd.ch/etat-droit-finances/communes/finances-communales/arretes-dimposition-et-tableaux-des-impots-communaux</w:t>
        </w:r>
      </w:hyperlink>
    </w:p>
    <w:p>
      <w:pPr>
        <w:spacing w:before="120" w:after="40"/>
      </w:pPr>
      <w:r>
        <w:rPr>
          <w:b/>
          <w:sz w:val="22"/>
        </w:rPr>
        <w:t>• Fortune des personnes physiques (par district, 2022)</w:t>
      </w:r>
    </w:p>
    <w:p>
      <w:pPr>
        <w:spacing w:after="40"/>
        <w:ind w:left="280"/>
      </w:pPr>
      <w:r>
        <w:rPr>
          <w:i/>
          <w:sz w:val="20"/>
        </w:rPr>
        <w:t>Statistique Vaud — recettes fiscales cantonales (table T18.02.16).</w:t>
      </w:r>
    </w:p>
    <w:p>
      <w:pPr>
        <w:spacing w:after="40"/>
        <w:ind w:left="280"/>
      </w:pPr>
      <w:r>
        <w:rPr>
          <w:sz w:val="20"/>
        </w:rPr>
        <w:t xml:space="preserve">StatVD — recettes fiscales : </w:t>
      </w:r>
      <w:hyperlink r:id="rId21">
        <w:r>
          <w:rPr>
            <w:color w:val="0563C1"/>
            <w:u w:val="single"/>
          </w:rPr>
          <w:t>https://www.vd.ch/etat-droit-finances/statistique/statistiques-par-domaine/18-finances-publiques-et-administration/recettes-fiscales-cantonales</w:t>
        </w:r>
      </w:hyperlink>
    </w:p>
    <w:p>
      <w:pPr>
        <w:spacing w:after="40"/>
      </w:pPr>
      <w:r>
        <w:rPr>
          <w:b/>
          <w:i w:val="0"/>
          <w:sz w:val="24"/>
        </w:rPr>
        <w:t>Immobilier</w:t>
      </w:r>
    </w:p>
    <w:p>
      <w:pPr>
        <w:spacing w:before="120" w:after="40"/>
      </w:pPr>
      <w:r>
        <w:rPr>
          <w:b/>
          <w:sz w:val="22"/>
        </w:rPr>
        <w:t>• Prix au m² (annonces, 2026)</w:t>
      </w:r>
    </w:p>
    <w:p>
      <w:pPr>
        <w:spacing w:after="40"/>
        <w:ind w:left="280"/>
      </w:pPr>
      <w:r>
        <w:rPr>
          <w:i/>
          <w:sz w:val="20"/>
        </w:rPr>
        <w:t>Annonces d'achat de Homegate.ch (premier portail immobilier suisse), extraites via la plateforme Apify. Prix demandés, et non prix de transaction.</w:t>
      </w:r>
    </w:p>
    <w:p>
      <w:pPr>
        <w:spacing w:after="40"/>
        <w:ind w:left="280"/>
      </w:pPr>
      <w:r>
        <w:rPr>
          <w:sz w:val="20"/>
        </w:rPr>
        <w:t xml:space="preserve">Homegate.ch : </w:t>
      </w:r>
      <w:hyperlink r:id="rId22">
        <w:r>
          <w:rPr>
            <w:color w:val="0563C1"/>
            <w:u w:val="single"/>
          </w:rPr>
          <w:t>https://www.homegate.ch</w:t>
        </w:r>
      </w:hyperlink>
    </w:p>
    <w:p>
      <w:pPr>
        <w:spacing w:after="40"/>
        <w:ind w:left="280"/>
      </w:pPr>
      <w:r>
        <w:rPr>
          <w:sz w:val="20"/>
        </w:rPr>
        <w:t xml:space="preserve">Actor Apify (Homegate) : </w:t>
      </w:r>
      <w:hyperlink r:id="rId23">
        <w:r>
          <w:rPr>
            <w:color w:val="0563C1"/>
            <w:u w:val="single"/>
          </w:rPr>
          <w:t>https://apify.com/santamaria-automations/homegate-scraper</w:t>
        </w:r>
      </w:hyperlink>
    </w:p>
    <w:p>
      <w:r>
        <w:br w:type="page"/>
      </w:r>
    </w:p>
    <w:p>
      <w:pPr>
        <w:pStyle w:val="Heading1"/>
      </w:pPr>
      <w:r>
        <w:rPr>
          <w:color w:val="1F4E79"/>
        </w:rPr>
        <w:t>2. Méthodologie des calculs</w:t>
      </w:r>
    </w:p>
    <w:p>
      <w:pPr>
        <w:spacing w:after="40"/>
      </w:pPr>
      <w:r>
        <w:rPr>
          <w:b/>
          <w:i w:val="0"/>
          <w:sz w:val="24"/>
        </w:rPr>
        <w:t>2.1 Démographie</w:t>
      </w:r>
    </w:p>
    <w:p>
      <w:pPr>
        <w:spacing w:after="120"/>
      </w:pPr>
      <w:r>
        <w:rPr>
          <w:b w:val="0"/>
          <w:i w:val="0"/>
          <w:sz w:val="20"/>
        </w:rPr>
        <w:t>• Population 65+ = somme des classes d'âge 65-69, 70-74, …, 100 ans et plus. Idem pour les 80+ (classes 80-84 … 100+).</w:t>
      </w:r>
    </w:p>
    <w:p>
      <w:pPr>
        <w:spacing w:after="120"/>
      </w:pPr>
      <w:r>
        <w:rPr>
          <w:b w:val="0"/>
          <w:i w:val="0"/>
          <w:sz w:val="20"/>
        </w:rPr>
        <w:t>• Part des seniors (%) = population de la tranche ÷ population totale × 100.</w:t>
      </w:r>
    </w:p>
    <w:p>
      <w:pPr>
        <w:spacing w:after="40"/>
      </w:pPr>
      <w:r>
        <w:rPr>
          <w:b/>
          <w:i w:val="0"/>
          <w:sz w:val="24"/>
        </w:rPr>
        <w:t>2.2 Concurrence EMS</w:t>
      </w:r>
    </w:p>
    <w:p>
      <w:pPr>
        <w:spacing w:after="120"/>
      </w:pPr>
      <w:r>
        <w:rPr>
          <w:b w:val="0"/>
          <w:i w:val="0"/>
          <w:sz w:val="20"/>
        </w:rPr>
        <w:t>• Lits par commune = somme des lits des EMS situés dans la commune (chaque EMS rattaché à sa commune par ses coordonnées GPS).</w:t>
      </w:r>
    </w:p>
    <w:p>
      <w:pPr>
        <w:spacing w:after="120"/>
      </w:pPr>
      <w:r>
        <w:rPr>
          <w:b w:val="0"/>
          <w:i w:val="0"/>
          <w:sz w:val="20"/>
        </w:rPr>
        <w:t>• « Éloignement des EMS » = distance, en km, entre le centre de la commune et l'EMS le plus proche (calcul géographique sur coordonnées projetées). Une distance élevée signale une zone mal desservie.</w:t>
      </w:r>
    </w:p>
    <w:p>
      <w:pPr>
        <w:spacing w:after="120"/>
      </w:pPr>
      <w:r>
        <w:rPr>
          <w:b w:val="0"/>
          <w:i w:val="0"/>
          <w:sz w:val="20"/>
        </w:rPr>
        <w:t>• Taux d'occupation : valeur cantonale officielle (~98 %), non disponible par établissement.</w:t>
      </w:r>
    </w:p>
    <w:p>
      <w:pPr>
        <w:spacing w:after="40"/>
      </w:pPr>
      <w:r>
        <w:rPr>
          <w:b/>
          <w:i w:val="0"/>
          <w:sz w:val="24"/>
        </w:rPr>
        <w:t>2.3 Pouvoir d'achat</w:t>
      </w:r>
    </w:p>
    <w:p>
      <w:pPr>
        <w:spacing w:after="120"/>
      </w:pPr>
      <w:r>
        <w:rPr>
          <w:b w:val="0"/>
          <w:i w:val="0"/>
          <w:sz w:val="20"/>
        </w:rPr>
        <w:t>• Revenu net médian estimé : l'OFS/ESTV fournit le nombre de contribuables par tranche de revenu. On en déduit la médiane par la formule des classes :</w:t>
      </w:r>
    </w:p>
    <w:p>
      <w:pPr>
        <w:ind w:left="560"/>
      </w:pPr>
      <w:r>
        <w:rPr>
          <w:i/>
          <w:sz w:val="20"/>
        </w:rPr>
        <w:t>médiane = L + ((N/2 − F) / f) × largeur_de_classe</w:t>
      </w:r>
    </w:p>
    <w:p>
      <w:pPr>
        <w:spacing w:after="120"/>
      </w:pPr>
      <w:r>
        <w:rPr>
          <w:b w:val="0"/>
          <w:i w:val="0"/>
          <w:sz w:val="20"/>
        </w:rPr>
        <w:t>où L = borne basse de la classe contenant le médian, N = total des contribuables, F = effectif cumulé avant cette classe, f = effectif de la classe.</w:t>
      </w:r>
    </w:p>
    <w:p>
      <w:pPr>
        <w:spacing w:after="120"/>
      </w:pPr>
      <w:r>
        <w:rPr>
          <w:b w:val="0"/>
          <w:i w:val="0"/>
          <w:sz w:val="20"/>
        </w:rPr>
        <w:t>• Part de hauts revenus = % de contribuables déclarant plus de 100 000 CHF.</w:t>
      </w:r>
    </w:p>
    <w:p>
      <w:pPr>
        <w:spacing w:after="120"/>
      </w:pPr>
      <w:r>
        <w:rPr>
          <w:b w:val="0"/>
          <w:i w:val="0"/>
          <w:sz w:val="20"/>
        </w:rPr>
        <w:t>• Fortune par district = (part du district dans la fortune cantonale ÷ part du district dans les contribuables) × fortune moyenne cantonale par contribuable.</w:t>
      </w:r>
    </w:p>
    <w:p>
      <w:pPr>
        <w:spacing w:after="120"/>
      </w:pPr>
      <w:r>
        <w:rPr>
          <w:b w:val="0"/>
          <w:i w:val="0"/>
          <w:sz w:val="20"/>
        </w:rPr>
        <w:t>• Indice de pouvoir d'achat (0-100) = moyenne de deux composantes normalisées : le revenu (plus il est haut, mieux c'est) et la charge fiscale inversée (plus le coefficient d'impôt est bas, mieux c'est).</w:t>
      </w:r>
    </w:p>
    <w:p>
      <w:pPr>
        <w:spacing w:after="40"/>
      </w:pPr>
      <w:r>
        <w:rPr>
          <w:b/>
          <w:i w:val="0"/>
          <w:sz w:val="24"/>
        </w:rPr>
        <w:t>2.4 Immobilier</w:t>
      </w:r>
    </w:p>
    <w:p>
      <w:pPr>
        <w:spacing w:after="120"/>
      </w:pPr>
      <w:r>
        <w:rPr>
          <w:b w:val="0"/>
          <w:i w:val="0"/>
          <w:sz w:val="20"/>
        </w:rPr>
        <w:t>• Prix au m² d'une annonce = prix de vente ÷ surface habitable.</w:t>
      </w:r>
    </w:p>
    <w:p>
      <w:pPr>
        <w:spacing w:after="120"/>
      </w:pPr>
      <w:r>
        <w:rPr>
          <w:b w:val="0"/>
          <w:i w:val="0"/>
          <w:sz w:val="20"/>
        </w:rPr>
        <w:t>• Surface : lue dans le texte de l'annonce ; si absente, estimée via le nombre de pièces (ratio médian observé ≈ 29,6 m² par pièce).</w:t>
      </w:r>
    </w:p>
    <w:p>
      <w:pPr>
        <w:spacing w:after="120"/>
      </w:pPr>
      <w:r>
        <w:rPr>
          <w:b w:val="0"/>
          <w:i w:val="0"/>
          <w:sz w:val="20"/>
        </w:rPr>
        <w:t>• Prix au m² d'une commune = moyenne (et médiane) des annonces de la commune, après filtrage des valeurs aberrantes (fourchette 3 000 – 30 000 CHF/m²).</w:t>
      </w:r>
    </w:p>
    <w:p>
      <w:pPr>
        <w:spacing w:after="120"/>
      </w:pPr>
      <w:r>
        <w:rPr>
          <w:b w:val="0"/>
          <w:i w:val="0"/>
          <w:sz w:val="20"/>
        </w:rPr>
        <w:t>• Communes sans bien en vente : prix estimé = médiane des 3 communes géographiquement les plus proches disposant d'un prix.</w:t>
      </w:r>
    </w:p>
    <w:p>
      <w:pPr>
        <w:spacing w:after="40"/>
      </w:pPr>
      <w:r>
        <w:rPr>
          <w:b/>
          <w:i w:val="0"/>
          <w:sz w:val="24"/>
        </w:rPr>
        <w:t>2.5 Score d'opportunité (0-100)</w:t>
      </w:r>
    </w:p>
    <w:p>
      <w:pPr>
        <w:spacing w:after="120"/>
      </w:pPr>
      <w:r>
        <w:rPr>
          <w:b w:val="0"/>
          <w:i w:val="0"/>
          <w:sz w:val="20"/>
        </w:rPr>
        <w:t>Croisement de 4 critères, chacun ramené à une note de 0 à 100, puis moyenne pondérée (poids ajustables dans l'outil) :</w:t>
      </w:r>
    </w:p>
    <w:p>
      <w:pPr>
        <w:ind w:left="320"/>
      </w:pPr>
      <w:r>
        <w:rPr>
          <w:sz w:val="20"/>
        </w:rPr>
        <w:t>1. Part de seniors (80+) élevée  →  forte demande potentielle</w:t>
      </w:r>
    </w:p>
    <w:p>
      <w:pPr>
        <w:ind w:left="320"/>
      </w:pPr>
      <w:r>
        <w:rPr>
          <w:sz w:val="20"/>
        </w:rPr>
        <w:t>2. Éloignement des EMS existants  →  zone mal desservie</w:t>
      </w:r>
    </w:p>
    <w:p>
      <w:pPr>
        <w:ind w:left="320"/>
      </w:pPr>
      <w:r>
        <w:rPr>
          <w:sz w:val="20"/>
        </w:rPr>
        <w:t>3. Pouvoir d'achat élevé  →  capacité des résidents à financer</w:t>
      </w:r>
    </w:p>
    <w:p>
      <w:pPr>
        <w:ind w:left="320"/>
      </w:pPr>
      <w:r>
        <w:rPr>
          <w:sz w:val="20"/>
        </w:rPr>
        <w:t>4. Prix immobilier au m² bas  →  foncier abordable (note inversée)</w:t>
      </w:r>
    </w:p>
    <w:p>
      <w:pPr>
        <w:spacing w:after="120"/>
      </w:pPr>
      <w:r>
        <w:rPr>
          <w:b w:val="0"/>
          <w:i w:val="0"/>
          <w:sz w:val="20"/>
        </w:rPr>
        <w:t>Normalisation « min-max » utilisée partout : note = (valeur − minimum) ÷ (maximum − minimum) × 100.</w:t>
      </w:r>
    </w:p>
    <w:p>
      <w:pPr>
        <w:pStyle w:val="Heading1"/>
      </w:pPr>
      <w:r>
        <w:rPr>
          <w:color w:val="1F4E79"/>
        </w:rPr>
        <w:t>3. Limites &amp; précautions</w:t>
      </w:r>
    </w:p>
    <w:p>
      <w:pPr>
        <w:spacing w:after="80"/>
        <w:ind w:left="280"/>
      </w:pPr>
      <w:r>
        <w:rPr>
          <w:sz w:val="20"/>
        </w:rPr>
        <w:t>• Prix immobiliers = prix demandés (annonces), pas des prix de transaction réels ; à valider par une source professionnelle (Wüest Partner, FPRE) avant engagement.</w:t>
      </w:r>
    </w:p>
    <w:p>
      <w:pPr>
        <w:spacing w:after="80"/>
        <w:ind w:left="280"/>
      </w:pPr>
      <w:r>
        <w:rPr>
          <w:sz w:val="20"/>
        </w:rPr>
        <w:t>• Fortune disponible au niveau district seulement (secret fiscal communal) : toutes les communes d'un même district partagent la valeur.</w:t>
      </w:r>
    </w:p>
    <w:p>
      <w:pPr>
        <w:spacing w:after="80"/>
        <w:ind w:left="280"/>
      </w:pPr>
      <w:r>
        <w:rPr>
          <w:sz w:val="20"/>
        </w:rPr>
        <w:t>• Revenu (impôt fédéral direct) : sous-estime légèrement les bas revenus et porte sur l'année 2022.</w:t>
      </w:r>
    </w:p>
    <w:p>
      <w:pPr>
        <w:spacing w:after="80"/>
        <w:ind w:left="280"/>
      </w:pPr>
      <w:r>
        <w:rPr>
          <w:sz w:val="20"/>
        </w:rPr>
        <w:t>• Les estimations (surface par pièces, prix par voisinage) sont signalées par une colonne « fiabilité » dans l'outil.</w:t>
      </w:r>
    </w:p>
    <w:p>
      <w:pPr>
        <w:spacing w:after="80"/>
        <w:ind w:left="280"/>
      </w:pPr>
      <w:r>
        <w:rPr>
          <w:sz w:val="20"/>
        </w:rPr>
        <w:t>• Outil d'aide à la décision : les pondérations du score sont des hypothèses à ajuster selon la stratégie d'investissement.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csgerwan/senior-invest-ch" TargetMode="External"/><Relationship Id="rId10" Type="http://schemas.openxmlformats.org/officeDocument/2006/relationships/hyperlink" Target="https://www.pxweb.bfs.admin.ch/pxweb/fr/px-x-0102010000_103/" TargetMode="External"/><Relationship Id="rId11" Type="http://schemas.openxmlformats.org/officeDocument/2006/relationships/hyperlink" Target="https://www.bfs.admin.ch/bfs/fr/home/statistiques/population.html" TargetMode="External"/><Relationship Id="rId12" Type="http://schemas.openxmlformats.org/officeDocument/2006/relationships/hyperlink" Target="https://public.opendatasoft.com/explore/dataset/georef-switzerland-gemeinde/" TargetMode="External"/><Relationship Id="rId13" Type="http://schemas.openxmlformats.org/officeDocument/2006/relationships/hyperlink" Target="https://www.geo.admin.ch" TargetMode="External"/><Relationship Id="rId14" Type="http://schemas.openxmlformats.org/officeDocument/2006/relationships/hyperlink" Target="https://www.vd.ch/fileadmin/user_upload/themes/social/EMS/Professionnel/Tarifs_soho/Liste_LAMal_2024.pdf" TargetMode="External"/><Relationship Id="rId15" Type="http://schemas.openxmlformats.org/officeDocument/2006/relationships/hyperlink" Target="https://infosan.vd.ch/chiffres-cles/ems-lits" TargetMode="External"/><Relationship Id="rId16" Type="http://schemas.openxmlformats.org/officeDocument/2006/relationships/hyperlink" Target="https://www.openstreetmap.org" TargetMode="External"/><Relationship Id="rId17" Type="http://schemas.openxmlformats.org/officeDocument/2006/relationships/hyperlink" Target="https://api3.geo.admin.ch" TargetMode="External"/><Relationship Id="rId18" Type="http://schemas.openxmlformats.org/officeDocument/2006/relationships/hyperlink" Target="https://tel.search.ch" TargetMode="External"/><Relationship Id="rId19" Type="http://schemas.openxmlformats.org/officeDocument/2006/relationships/hyperlink" Target="https://www.estv.admin.ch/estv/fr/accueil/afc/statistiques-fiscales/statistiques-fiscales-general/statistiques-impot-federal-direct/ifd-pp-communes-depuis-1983.html" TargetMode="External"/><Relationship Id="rId20" Type="http://schemas.openxmlformats.org/officeDocument/2006/relationships/hyperlink" Target="https://www.vd.ch/etat-droit-finances/communes/finances-communales/arretes-dimposition-et-tableaux-des-impots-communaux" TargetMode="External"/><Relationship Id="rId21" Type="http://schemas.openxmlformats.org/officeDocument/2006/relationships/hyperlink" Target="https://www.vd.ch/etat-droit-finances/statistique/statistiques-par-domaine/18-finances-publiques-et-administration/recettes-fiscales-cantonales" TargetMode="External"/><Relationship Id="rId22" Type="http://schemas.openxmlformats.org/officeDocument/2006/relationships/hyperlink" Target="https://www.homegate.ch" TargetMode="External"/><Relationship Id="rId23" Type="http://schemas.openxmlformats.org/officeDocument/2006/relationships/hyperlink" Target="https://apify.com/santamaria-automations/homegate-scrap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