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CC0000"/>
          <w:sz w:val="72"/>
          <w:szCs w:val="72"/>
        </w:rPr>
        <w:t xml:space="preserve">CSGN</w:t>
      </w:r>
    </w:p>
    <w:p>
      <w:pPr>
        <w:spacing w:after="100"/>
        <w:jc w:val="center"/>
      </w:pPr>
      <w:r>
        <w:rPr>
          <w:rFonts w:ascii="Arial" w:cs="Arial" w:eastAsia="Arial" w:hAnsi="Arial"/>
          <w:color w:val="1A1A1A"/>
          <w:spacing w:val="200"/>
          <w:sz w:val="28"/>
          <w:szCs w:val="28"/>
        </w:rPr>
        <w:t xml:space="preserve">CRYPTO SPORTS &amp; GAMING NETWORK</w:t>
      </w:r>
    </w:p>
    <w:p>
      <w:pPr>
        <w:pBdr>
          <w:bottom w:val="single" w:color="CC0000" w:sz="6" w:space="12"/>
        </w:pBdr>
        <w:spacing w:after="600"/>
        <w:jc w:val="center"/>
      </w:pPr>
    </w:p>
    <w:p>
      <w:pPr>
        <w:spacing w:after="200"/>
        <w:jc w:val="center"/>
      </w:pPr>
      <w:r>
        <w:rPr>
          <w:rFonts w:ascii="Arial" w:cs="Arial" w:eastAsia="Arial" w:hAnsi="Arial"/>
          <w:b/>
          <w:bCs/>
          <w:color w:val="1A1A1A"/>
          <w:sz w:val="40"/>
          <w:szCs w:val="40"/>
        </w:rPr>
        <w:t xml:space="preserve">BUSINESS PLAN</w:t>
      </w:r>
    </w:p>
    <w:p>
      <w:pPr>
        <w:spacing w:after="100"/>
        <w:jc w:val="center"/>
      </w:pPr>
      <w:r>
        <w:rPr>
          <w:rFonts w:ascii="Arial" w:cs="Arial" w:eastAsia="Arial" w:hAnsi="Arial"/>
          <w:i/>
          <w:iCs/>
          <w:color w:val="666666"/>
          <w:sz w:val="24"/>
          <w:szCs w:val="24"/>
        </w:rPr>
        <w:t xml:space="preserve">From Passion Project to Streaming Powerhouse</w:t>
      </w:r>
    </w:p>
    <w:p>
      <w:pPr>
        <w:spacing w:before="1200"/>
      </w:pPr>
    </w:p>
    <w:p>
      <w:pPr>
        <w:spacing w:after="100"/>
        <w:jc w:val="center"/>
      </w:pPr>
      <w:r>
        <w:rPr>
          <w:rFonts w:ascii="Arial" w:cs="Arial" w:eastAsia="Arial" w:hAnsi="Arial"/>
          <w:b/>
          <w:bCs/>
          <w:color w:val="CC0000"/>
          <w:spacing w:val="150"/>
          <w:sz w:val="20"/>
          <w:szCs w:val="20"/>
        </w:rPr>
        <w:t xml:space="preserve">CONFIDENTIAL</w:t>
      </w:r>
    </w:p>
    <w:p>
      <w:pPr>
        <w:spacing w:after="100"/>
        <w:jc w:val="center"/>
      </w:pPr>
      <w:r>
        <w:rPr>
          <w:rFonts w:ascii="Arial" w:cs="Arial" w:eastAsia="Arial" w:hAnsi="Arial"/>
          <w:color w:val="666666"/>
          <w:sz w:val="22"/>
          <w:szCs w:val="22"/>
        </w:rPr>
        <w:t xml:space="preserve">February 2026</w:t>
      </w:r>
    </w:p>
    <w:p>
      <w:pPr>
        <w:jc w:val="center"/>
      </w:pPr>
      <w:r>
        <w:rPr>
          <w:rFonts w:ascii="Arial" w:cs="Arial" w:eastAsia="Arial" w:hAnsi="Arial"/>
          <w:color w:val="666666"/>
          <w:sz w:val="20"/>
          <w:szCs w:val="20"/>
        </w:rPr>
        <w:t xml:space="preserve">Prepared for Internal Strategy &amp; Investor Review</w:t>
      </w:r>
    </w:p>
    <w:p>
      <w:pPr>
        <w:sectPr>
          <w:pgSz w:w="12240" w:h="15840" w:orient="portrait"/>
          <w:pgMar w:top="1440" w:right="1440" w:bottom="1440" w:left="1440" w:header="708" w:footer="708" w:gutter="0"/>
          <w:pgNumType/>
          <w:docGrid w:linePitch="360"/>
        </w:sectPr>
      </w:pPr>
    </w:p>
    <w:p>
      <w:pPr>
        <w:pBdr>
          <w:bottom w:val="single" w:color="CC0000" w:sz="4" w:space="8"/>
        </w:pBdr>
        <w:spacing w:after="400"/>
      </w:pPr>
      <w:r>
        <w:rPr>
          <w:rFonts w:ascii="Arial" w:cs="Arial" w:eastAsia="Arial" w:hAnsi="Arial"/>
          <w:b/>
          <w:bCs/>
          <w:color w:val="1A1A1A"/>
          <w:sz w:val="36"/>
          <w:szCs w:val="36"/>
        </w:rPr>
        <w:t xml:space="preserve">TABLE OF CONTENTS</w:t>
      </w:r>
    </w:p>
    <w:p>
      <w:pPr>
        <w:spacing w:after="180"/>
      </w:pPr>
      <w:r>
        <w:rPr>
          <w:rFonts w:ascii="Arial" w:cs="Arial" w:eastAsia="Arial" w:hAnsi="Arial"/>
          <w:b/>
          <w:bCs/>
          <w:color w:val="CC0000"/>
          <w:sz w:val="24"/>
          <w:szCs w:val="24"/>
        </w:rPr>
        <w:t xml:space="preserve">1.  </w:t>
      </w:r>
      <w:r>
        <w:rPr>
          <w:rFonts w:ascii="Arial" w:cs="Arial" w:eastAsia="Arial" w:hAnsi="Arial"/>
          <w:color w:val="333333"/>
          <w:sz w:val="24"/>
          <w:szCs w:val="24"/>
        </w:rPr>
        <w:t xml:space="preserve">Executive Summary</w:t>
      </w:r>
    </w:p>
    <w:p>
      <w:pPr>
        <w:spacing w:after="180"/>
      </w:pPr>
      <w:r>
        <w:rPr>
          <w:rFonts w:ascii="Arial" w:cs="Arial" w:eastAsia="Arial" w:hAnsi="Arial"/>
          <w:b/>
          <w:bCs/>
          <w:color w:val="CC0000"/>
          <w:sz w:val="24"/>
          <w:szCs w:val="24"/>
        </w:rPr>
        <w:t xml:space="preserve">2.  </w:t>
      </w:r>
      <w:r>
        <w:rPr>
          <w:rFonts w:ascii="Arial" w:cs="Arial" w:eastAsia="Arial" w:hAnsi="Arial"/>
          <w:color w:val="333333"/>
          <w:sz w:val="24"/>
          <w:szCs w:val="24"/>
        </w:rPr>
        <w:t xml:space="preserve">Market Opportunity</w:t>
      </w:r>
    </w:p>
    <w:p>
      <w:pPr>
        <w:spacing w:after="180"/>
      </w:pPr>
      <w:r>
        <w:rPr>
          <w:rFonts w:ascii="Arial" w:cs="Arial" w:eastAsia="Arial" w:hAnsi="Arial"/>
          <w:b/>
          <w:bCs/>
          <w:color w:val="CC0000"/>
          <w:sz w:val="24"/>
          <w:szCs w:val="24"/>
        </w:rPr>
        <w:t xml:space="preserve">3.  </w:t>
      </w:r>
      <w:r>
        <w:rPr>
          <w:rFonts w:ascii="Arial" w:cs="Arial" w:eastAsia="Arial" w:hAnsi="Arial"/>
          <w:color w:val="333333"/>
          <w:sz w:val="24"/>
          <w:szCs w:val="24"/>
        </w:rPr>
        <w:t xml:space="preserve">The CSGN Platform</w:t>
      </w:r>
    </w:p>
    <w:p>
      <w:pPr>
        <w:spacing w:after="180"/>
      </w:pPr>
      <w:r>
        <w:rPr>
          <w:rFonts w:ascii="Arial" w:cs="Arial" w:eastAsia="Arial" w:hAnsi="Arial"/>
          <w:b/>
          <w:bCs/>
          <w:color w:val="CC0000"/>
          <w:sz w:val="24"/>
          <w:szCs w:val="24"/>
        </w:rPr>
        <w:t xml:space="preserve">4.  </w:t>
      </w:r>
      <w:r>
        <w:rPr>
          <w:rFonts w:ascii="Arial" w:cs="Arial" w:eastAsia="Arial" w:hAnsi="Arial"/>
          <w:color w:val="333333"/>
          <w:sz w:val="24"/>
          <w:szCs w:val="24"/>
        </w:rPr>
        <w:t xml:space="preserve">Revenue Model &amp; Token Economics</w:t>
      </w:r>
    </w:p>
    <w:p>
      <w:pPr>
        <w:spacing w:after="180"/>
      </w:pPr>
      <w:r>
        <w:rPr>
          <w:rFonts w:ascii="Arial" w:cs="Arial" w:eastAsia="Arial" w:hAnsi="Arial"/>
          <w:b/>
          <w:bCs/>
          <w:color w:val="CC0000"/>
          <w:sz w:val="24"/>
          <w:szCs w:val="24"/>
        </w:rPr>
        <w:t xml:space="preserve">5.  </w:t>
      </w:r>
      <w:r>
        <w:rPr>
          <w:rFonts w:ascii="Arial" w:cs="Arial" w:eastAsia="Arial" w:hAnsi="Arial"/>
          <w:color w:val="333333"/>
          <w:sz w:val="24"/>
          <w:szCs w:val="24"/>
        </w:rPr>
        <w:t xml:space="preserve">Competitive Landscape</w:t>
      </w:r>
    </w:p>
    <w:p>
      <w:pPr>
        <w:spacing w:after="180"/>
      </w:pPr>
      <w:r>
        <w:rPr>
          <w:rFonts w:ascii="Arial" w:cs="Arial" w:eastAsia="Arial" w:hAnsi="Arial"/>
          <w:b/>
          <w:bCs/>
          <w:color w:val="CC0000"/>
          <w:sz w:val="24"/>
          <w:szCs w:val="24"/>
        </w:rPr>
        <w:t xml:space="preserve">6.  </w:t>
      </w:r>
      <w:r>
        <w:rPr>
          <w:rFonts w:ascii="Arial" w:cs="Arial" w:eastAsia="Arial" w:hAnsi="Arial"/>
          <w:color w:val="333333"/>
          <w:sz w:val="24"/>
          <w:szCs w:val="24"/>
        </w:rPr>
        <w:t xml:space="preserve">Growth Strategy &amp; Roadmap</w:t>
      </w:r>
    </w:p>
    <w:p>
      <w:pPr>
        <w:spacing w:after="180"/>
      </w:pPr>
      <w:r>
        <w:rPr>
          <w:rFonts w:ascii="Arial" w:cs="Arial" w:eastAsia="Arial" w:hAnsi="Arial"/>
          <w:b/>
          <w:bCs/>
          <w:color w:val="CC0000"/>
          <w:sz w:val="24"/>
          <w:szCs w:val="24"/>
        </w:rPr>
        <w:t xml:space="preserve">7.  </w:t>
      </w:r>
      <w:r>
        <w:rPr>
          <w:rFonts w:ascii="Arial" w:cs="Arial" w:eastAsia="Arial" w:hAnsi="Arial"/>
          <w:color w:val="333333"/>
          <w:sz w:val="24"/>
          <w:szCs w:val="24"/>
        </w:rPr>
        <w:t xml:space="preserve">Content Strategy</w:t>
      </w:r>
    </w:p>
    <w:p>
      <w:pPr>
        <w:spacing w:after="180"/>
      </w:pPr>
      <w:r>
        <w:rPr>
          <w:rFonts w:ascii="Arial" w:cs="Arial" w:eastAsia="Arial" w:hAnsi="Arial"/>
          <w:b/>
          <w:bCs/>
          <w:color w:val="CC0000"/>
          <w:sz w:val="24"/>
          <w:szCs w:val="24"/>
        </w:rPr>
        <w:t xml:space="preserve">8.  </w:t>
      </w:r>
      <w:r>
        <w:rPr>
          <w:rFonts w:ascii="Arial" w:cs="Arial" w:eastAsia="Arial" w:hAnsi="Arial"/>
          <w:color w:val="333333"/>
          <w:sz w:val="24"/>
          <w:szCs w:val="24"/>
        </w:rPr>
        <w:t xml:space="preserve">Financial Projections</w:t>
      </w:r>
    </w:p>
    <w:p>
      <w:pPr>
        <w:spacing w:after="180"/>
      </w:pPr>
      <w:r>
        <w:rPr>
          <w:rFonts w:ascii="Arial" w:cs="Arial" w:eastAsia="Arial" w:hAnsi="Arial"/>
          <w:b/>
          <w:bCs/>
          <w:color w:val="CC0000"/>
          <w:sz w:val="24"/>
          <w:szCs w:val="24"/>
        </w:rPr>
        <w:t xml:space="preserve">9.  </w:t>
      </w:r>
      <w:r>
        <w:rPr>
          <w:rFonts w:ascii="Arial" w:cs="Arial" w:eastAsia="Arial" w:hAnsi="Arial"/>
          <w:color w:val="333333"/>
          <w:sz w:val="24"/>
          <w:szCs w:val="24"/>
        </w:rPr>
        <w:t xml:space="preserve">Team &amp; Organizational Plan</w:t>
      </w:r>
    </w:p>
    <w:p>
      <w:pPr>
        <w:spacing w:after="180"/>
      </w:pPr>
      <w:r>
        <w:rPr>
          <w:rFonts w:ascii="Arial" w:cs="Arial" w:eastAsia="Arial" w:hAnsi="Arial"/>
          <w:b/>
          <w:bCs/>
          <w:color w:val="CC0000"/>
          <w:sz w:val="24"/>
          <w:szCs w:val="24"/>
        </w:rPr>
        <w:t xml:space="preserve">10.  </w:t>
      </w:r>
      <w:r>
        <w:rPr>
          <w:rFonts w:ascii="Arial" w:cs="Arial" w:eastAsia="Arial" w:hAnsi="Arial"/>
          <w:color w:val="333333"/>
          <w:sz w:val="24"/>
          <w:szCs w:val="24"/>
        </w:rPr>
        <w:t xml:space="preserve">Risk Analysis &amp; Mitigation</w:t>
      </w:r>
    </w:p>
    <w:p>
      <w:pPr>
        <w:spacing w:after="180"/>
      </w:pPr>
      <w:r>
        <w:rPr>
          <w:rFonts w:ascii="Arial" w:cs="Arial" w:eastAsia="Arial" w:hAnsi="Arial"/>
          <w:b/>
          <w:bCs/>
          <w:color w:val="CC0000"/>
          <w:sz w:val="24"/>
          <w:szCs w:val="24"/>
        </w:rPr>
        <w:t xml:space="preserve">11.  </w:t>
      </w:r>
      <w:r>
        <w:rPr>
          <w:rFonts w:ascii="Arial" w:cs="Arial" w:eastAsia="Arial" w:hAnsi="Arial"/>
          <w:color w:val="333333"/>
          <w:sz w:val="24"/>
          <w:szCs w:val="24"/>
        </w:rPr>
        <w:t xml:space="preserve">Investment Ask &amp; Use of Funds</w:t>
      </w:r>
    </w:p>
    <w:p>
      <w:pPr>
        <w:sectPr>
          <w:headerReference w:type="default" r:id="rId6"/>
          <w:footerReference w:type="default" r:id="rId7"/>
          <w:pgSz w:w="12240" w:h="15840" w:orient="portrait"/>
          <w:pgMar w:top="1440" w:right="1440" w:bottom="1440" w:left="1440" w:header="708" w:footer="708" w:gutter="0"/>
          <w:pgNumType/>
          <w:docGrid w:linePitch="360"/>
        </w:sectPr>
      </w:pPr>
    </w:p>
    <w:p>
      <w:pPr>
        <w:pStyle w:val="Heading1"/>
      </w:pPr>
      <w:r>
        <w:t xml:space="preserve">1. Executive Summary</w:t>
      </w:r>
    </w:p>
    <w:p>
      <w:pPr>
        <w:spacing w:after="200" w:line="276"/>
      </w:pPr>
      <w:r>
        <w:rPr>
          <w:rFonts w:ascii="Arial" w:cs="Arial" w:eastAsia="Arial" w:hAnsi="Arial"/>
          <w:color w:val="333333"/>
          <w:sz w:val="24"/>
          <w:szCs w:val="24"/>
        </w:rPr>
        <w:t xml:space="preserve">CSGN (Crypto Sports &amp; Gaming Network) is a 24/7 crypto-native streaming network built on Solana’s pump.fun protocol. CSGN is positioned to become the definitive broadcast home for cryptocurrency culture, sports gaming content, and the next generation of broadcasting talent—the ESPN and TMZ of crypto.</w:t>
      </w:r>
    </w:p>
    <w:p>
      <w:pPr>
        <w:spacing w:after="200" w:line="276"/>
      </w:pPr>
      <w:r>
        <w:rPr>
          <w:rFonts w:ascii="Arial" w:cs="Arial" w:eastAsia="Arial" w:hAnsi="Arial"/>
          <w:color w:val="333333"/>
          <w:sz w:val="24"/>
          <w:szCs w:val="24"/>
        </w:rPr>
        <w:t xml:space="preserve">Traditional sports media is hemorrhaging younger viewers. ESPN, FOX, and NBC continue to lean on retired athletes and legacy formats that fail to resonate with audiences under 35. Meanwhile, crypto culture generates daily drama, narratives, and community moments that rival any sports league—yet no network exists to serve this audience with structured, appointment-viewing content.</w:t>
      </w:r>
    </w:p>
    <w:p>
      <w:pPr>
        <w:spacing w:after="200" w:line="276"/>
      </w:pPr>
      <w:r>
        <w:rPr>
          <w:rFonts w:ascii="Arial" w:cs="Arial" w:eastAsia="Arial" w:hAnsi="Arial"/>
          <w:color w:val="333333"/>
          <w:sz w:val="24"/>
          <w:szCs w:val="24"/>
        </w:rPr>
        <w:t xml:space="preserve">CSGN fills this gap with a fundamentally new model: a single-channel, always-on network where streamers earn 50% of the CSGN token’s trading fees generated during their assigned time slot on pump.fun. This creates a direct, transparent, and unprecedented incentive structure that aligns streamer success with network growth. No legacy broadcaster can replicate this economic model.</w:t>
      </w:r>
    </w:p>
    <w:p>
      <w:pP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2"/>
                <w:szCs w:val="22"/>
              </w:rPr>
              <w:t xml:space="preserve">Company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CSGN — Crypto Sports &amp; Gaming Network</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2"/>
                <w:szCs w:val="22"/>
              </w:rPr>
              <w:t xml:space="preserve">Blockchain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Solana (pump.fun protocol)</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2"/>
                <w:szCs w:val="22"/>
              </w:rPr>
              <w:t xml:space="preserve">Model</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24/7 single-channel streaming network</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2"/>
                <w:szCs w:val="22"/>
              </w:rPr>
              <w:t xml:space="preserve">Revenue Engine</w:t>
            </w:r>
          </w:p>
        </w:tc>
        <w:tc>
          <w:tcPr>
            <w:tcW w:type="dxa" w:w="586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color w:val="333333"/>
                <w:sz w:val="22"/>
                <w:szCs w:val="22"/>
              </w:rPr>
              <w:t xml:space="preserve">Token trading fees via pump.fun (50% to streamers)</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2"/>
                <w:szCs w:val="22"/>
              </w:rPr>
              <w:t xml:space="preserve">Content Pillars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Crypto drama/news, sports gaming, esports</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2"/>
                <w:szCs w:val="22"/>
              </w:rPr>
              <w:t xml:space="preserve">Target Audience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Crypto-native users aged 18–35</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2"/>
                <w:szCs w:val="22"/>
              </w:rPr>
              <w:t xml:space="preserve">Phase 2 Products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Daily Grid, Squares, prediction games</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2"/>
                <w:szCs w:val="22"/>
              </w:rPr>
              <w:t xml:space="preserve">Long-Term Vision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Own leagues, tournaments, live events, talent pipeline</w:t>
            </w:r>
          </w:p>
        </w:tc>
      </w:tr>
    </w:tbl>
    <w:p>
      <w:r>
        <w:br w:type="page"/>
      </w:r>
    </w:p>
    <w:p>
      <w:pPr>
        <w:pStyle w:val="Heading1"/>
      </w:pPr>
      <w:r>
        <w:t xml:space="preserve">2. Market Opportunity</w:t>
      </w:r>
    </w:p>
    <w:p>
      <w:pPr>
        <w:pStyle w:val="Heading2"/>
      </w:pPr>
      <w:r>
        <w:t xml:space="preserve">2.1 The Collapse of Traditional Sports Media</w:t>
      </w:r>
    </w:p>
    <w:p>
      <w:pPr>
        <w:spacing w:after="200" w:line="276"/>
      </w:pPr>
      <w:r>
        <w:rPr>
          <w:rFonts w:ascii="Arial" w:cs="Arial" w:eastAsia="Arial" w:hAnsi="Arial"/>
          <w:color w:val="333333"/>
          <w:sz w:val="24"/>
          <w:szCs w:val="24"/>
        </w:rPr>
        <w:t xml:space="preserve">The sports broadcasting industry is undergoing a generational shift. Cable viewership among 18–34 year-olds has declined by over 40% in the past decade. ESPN’s average viewer age exceeds 50. Networks are locked into billion-dollar rights deals with legacy leagues while their core advertising demographics migrate to YouTube, Twitch, Kick, and short-form social platforms.</w:t>
      </w:r>
    </w:p>
    <w:p>
      <w:pPr>
        <w:spacing w:after="200" w:line="276"/>
      </w:pPr>
      <w:r>
        <w:rPr>
          <w:rFonts w:ascii="Arial" w:cs="Arial" w:eastAsia="Arial" w:hAnsi="Arial"/>
          <w:color w:val="333333"/>
          <w:sz w:val="24"/>
          <w:szCs w:val="24"/>
        </w:rPr>
        <w:t xml:space="preserve">Young sports broadcasting talent is no longer developing through traditional pipelines. The next generation of on-air personalities is building audiences on Instagram Reels, TikTok, and YouTube Shorts—platforms that offer reach but no structured network home. These creators need a platform that rewards them directly and treats them as partners, not interchangeable talent.</w:t>
      </w:r>
    </w:p>
    <w:p>
      <w:pPr>
        <w:pStyle w:val="Heading2"/>
      </w:pPr>
      <w:r>
        <w:t xml:space="preserve">2.2 Crypto Culture: An Unserved Media Market</w:t>
      </w:r>
    </w:p>
    <w:p>
      <w:pPr>
        <w:spacing w:after="200" w:line="276"/>
      </w:pPr>
      <w:r>
        <w:rPr>
          <w:rFonts w:ascii="Arial" w:cs="Arial" w:eastAsia="Arial" w:hAnsi="Arial"/>
          <w:color w:val="333333"/>
          <w:sz w:val="24"/>
          <w:szCs w:val="24"/>
        </w:rPr>
        <w:t xml:space="preserve">Cryptocurrency has created one of the most engaged, vocal, and content-hungry communities online. Daily drama involving tokens, protocols, influencers, rug pulls, regulatory battles, and market movements generates narrative intensity that rivals professional sports. Yet this audience has no centralized broadcast network. Content is fragmented across Twitter/X Spaces, Twitch streams, YouTube channels, and Telegram groups with no structure, curation, or appointment viewing.</w:t>
      </w:r>
    </w:p>
    <w:p>
      <w:pPr>
        <w:spacing w:after="200" w:line="276"/>
      </w:pPr>
      <w:r>
        <w:rPr>
          <w:rFonts w:ascii="Arial" w:cs="Arial" w:eastAsia="Arial" w:hAnsi="Arial"/>
          <w:color w:val="333333"/>
          <w:sz w:val="24"/>
          <w:szCs w:val="24"/>
        </w:rPr>
        <w:t xml:space="preserve">The crypto media market is estimated at over $1.5 billion in annual advertising spend, growing at 25%+ year-over-year. The audience skews young (75% under 40), male (70%+), and is highly engaged with digital content. They are accustomed to token-based economies and reward structures, making them a natural fit for CSGN’s model.</w:t>
      </w:r>
    </w:p>
    <w:p>
      <w:pPr>
        <w:pStyle w:val="Heading2"/>
      </w:pPr>
      <w:r>
        <w:t xml:space="preserve">2.3 The Attention Fragmentation Problem</w:t>
      </w:r>
    </w:p>
    <w:p>
      <w:pPr>
        <w:spacing w:after="200" w:line="276"/>
      </w:pPr>
      <w:r>
        <w:rPr>
          <w:rFonts w:ascii="Arial" w:cs="Arial" w:eastAsia="Arial" w:hAnsi="Arial"/>
          <w:color w:val="333333"/>
          <w:sz w:val="24"/>
          <w:szCs w:val="24"/>
        </w:rPr>
        <w:t xml:space="preserve">The core problem CSGN solves is attention fragmentation. Crypto viewers currently have to follow dozens of individual streamers and accounts to stay informed. There is no single destination for “what’s happening in crypto right now.” CSGN becomes that destination—a channel you turn on and it’s always live, always relevant, always curated. This is the same structural advantage ESPN held in cable’s golden era, rebuilt for the crypto-native generation.</w:t>
      </w:r>
    </w:p>
    <w:p>
      <w:pPr>
        <w:pStyle w:val="Heading2"/>
      </w:pPr>
      <w:r>
        <w:t xml:space="preserve">2.4 Gaming Is Sports</w:t>
      </w:r>
    </w:p>
    <w:p>
      <w:pPr>
        <w:spacing w:after="200" w:line="276"/>
      </w:pPr>
      <w:r>
        <w:rPr>
          <w:rFonts w:ascii="Arial" w:cs="Arial" w:eastAsia="Arial" w:hAnsi="Arial"/>
          <w:color w:val="333333"/>
          <w:sz w:val="24"/>
          <w:szCs w:val="24"/>
        </w:rPr>
        <w:t xml:space="preserve">The lines between gaming and traditional sports continue to blur. Esports viewership regularly exceeds many traditional sporting events. Sports video games (Madden, EA College Football, FIFA/EA FC) bridge both audiences. CSGN’s content strategy positions gaming as a core sports vertical, not a separate category—reflecting how the target demographic actually consumes content.</w:t>
      </w:r>
    </w:p>
    <w:p>
      <w:r>
        <w:br w:type="page"/>
      </w:r>
    </w:p>
    <w:p>
      <w:pPr>
        <w:pStyle w:val="Heading1"/>
      </w:pPr>
      <w:r>
        <w:t xml:space="preserve">3. The CSGN Platform</w:t>
      </w:r>
    </w:p>
    <w:p>
      <w:pPr>
        <w:pStyle w:val="Heading2"/>
      </w:pPr>
      <w:r>
        <w:t xml:space="preserve">3.1 24/7 Single-Channel Architecture</w:t>
      </w:r>
    </w:p>
    <w:p>
      <w:pPr>
        <w:spacing w:after="200" w:line="276"/>
      </w:pPr>
      <w:r>
        <w:rPr>
          <w:rFonts w:ascii="Arial" w:cs="Arial" w:eastAsia="Arial" w:hAnsi="Arial"/>
          <w:color w:val="333333"/>
          <w:sz w:val="24"/>
          <w:szCs w:val="24"/>
        </w:rPr>
        <w:t xml:space="preserve">CSGN operates as a single continuous broadcast channel, not a multi-channel platform. This is a deliberate strategic choice. By consolidating all content into one always-on stream, CSGN creates scarcity (limited time slots), urgency (appointment viewing), and a shared community experience where the entire audience is watching the same thing at the same time. This mirrors the cable TV model that built ESPN into a cultural institution, adapted for Web3.</w:t>
      </w:r>
    </w:p>
    <w:p>
      <w:pPr>
        <w:pStyle w:val="Heading2"/>
      </w:pPr>
      <w:r>
        <w:t xml:space="preserve">3.2 Time-Slot Structure</w:t>
      </w:r>
    </w:p>
    <w:p>
      <w:pPr>
        <w:spacing w:after="200" w:line="276"/>
      </w:pPr>
      <w:r>
        <w:rPr>
          <w:rFonts w:ascii="Arial" w:cs="Arial" w:eastAsia="Arial" w:hAnsi="Arial"/>
          <w:color w:val="333333"/>
          <w:sz w:val="24"/>
          <w:szCs w:val="24"/>
        </w:rPr>
        <w:t xml:space="preserve">CSGN’s broadcast day is divided into three tiers, each with a distinct access mechanism: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600"/>
        <w:gridCol w:w="2560"/>
      </w:tblGrid>
      <w:tr>
        <w:tc>
          <w:tcPr>
            <w:tcW w:type="dxa" w:w="234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Time Block</w:t>
            </w:r>
          </w:p>
        </w:tc>
        <w:tc>
          <w:tcPr>
            <w:tcW w:type="dxa" w:w="234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Access Method</w:t>
            </w:r>
          </w:p>
        </w:tc>
        <w:tc>
          <w:tcPr>
            <w:tcW w:type="dxa" w:w="234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Slot Economics</w:t>
            </w:r>
          </w:p>
        </w:tc>
        <w:tc>
          <w:tcPr>
            <w:tcW w:type="dxa" w:w="234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Deadline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3AM – 2PM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Auction Bidding</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Highest bidder wins slot</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 hour before slot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2PM – 6PM</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Lottery Entry</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Random selection from entries</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1:00 PM daily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6PM – 3AM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CEO-Assigned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Curated prime-time talent</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6:00 PM daily</w:t>
            </w:r>
          </w:p>
        </w:tc>
      </w:tr>
    </w:tbl>
    <w:p>
      <w:pPr>
        <w:spacing w:after="200"/>
      </w:pPr>
    </w:p>
    <w:p>
      <w:pPr>
        <w:spacing w:after="200" w:line="276"/>
      </w:pPr>
      <w:r>
        <w:rPr>
          <w:rFonts w:ascii="Arial" w:cs="Arial" w:eastAsia="Arial" w:hAnsi="Arial"/>
          <w:color w:val="333333"/>
          <w:sz w:val="24"/>
          <w:szCs w:val="24"/>
        </w:rPr>
        <w:t xml:space="preserve">This three-tier system creates multiple engagement loops: competitive bidding for off-peak slots, accessible lottery entry for afternoon content, and curated prime-time programming where the CEO directly controls quality. The CEO-assigned prime block (6PM–3AM) is the network’s flagship product and where brand-defining content airs.</w:t>
      </w:r>
    </w:p>
    <w:p>
      <w:pPr>
        <w:pStyle w:val="Heading2"/>
      </w:pPr>
      <w:r>
        <w:t xml:space="preserve">3.3 Streamer Application Pipeline</w:t>
      </w:r>
    </w:p>
    <w:p>
      <w:pPr>
        <w:spacing w:after="200" w:line="276"/>
      </w:pPr>
      <w:r>
        <w:rPr>
          <w:rFonts w:ascii="Arial" w:cs="Arial" w:eastAsia="Arial" w:hAnsi="Arial"/>
          <w:color w:val="333333"/>
          <w:sz w:val="24"/>
          <w:szCs w:val="24"/>
        </w:rPr>
        <w:t xml:space="preserve">Streamers apply through CSGN’s website, undergo a review process for content quality and alignment, and upon approval receive unique RTMP stream keys. This controlled pipeline ensures that every voice on the network meets CSGN’s standards while remaining accessible to emerging talent. The application-to-broadcast workflow is fully functional and represents a competitive moat—streamers are vetted partners, not random users.</w:t>
      </w:r>
    </w:p>
    <w:p>
      <w:pPr>
        <w:pStyle w:val="Heading2"/>
      </w:pPr>
      <w:r>
        <w:t xml:space="preserve">3.4 Dual-Output Broadcast Infrastructure</w:t>
      </w:r>
    </w:p>
    <w:p>
      <w:pPr>
        <w:spacing w:after="200" w:line="276"/>
      </w:pPr>
      <w:r>
        <w:rPr>
          <w:rFonts w:ascii="Arial" w:cs="Arial" w:eastAsia="Arial" w:hAnsi="Arial"/>
          <w:color w:val="333333"/>
          <w:sz w:val="24"/>
          <w:szCs w:val="24"/>
        </w:rPr>
        <w:t xml:space="preserve">CSGN’s technical architecture ingests multiple streamer feeds and internal content, orchestrates them via an automated schedule engine, and outputs a single master RTMP stream simultaneously to pump.fun (for token-linked viewership) and to CSGN’s own website (for direct audience engagement). Automated failover to internal content ensures the network never goes dark.</w:t>
      </w:r>
    </w:p>
    <w:p>
      <w:r>
        <w:br w:type="page"/>
      </w:r>
    </w:p>
    <w:p>
      <w:pPr>
        <w:pStyle w:val="Heading1"/>
      </w:pPr>
      <w:r>
        <w:t xml:space="preserve">4. Revenue Model &amp; Token Economics</w:t>
      </w:r>
    </w:p>
    <w:p>
      <w:pPr>
        <w:pStyle w:val="Heading2"/>
      </w:pPr>
      <w:r>
        <w:t xml:space="preserve">4.1 The Pump.fun Fee-Split Model</w:t>
      </w:r>
    </w:p>
    <w:p>
      <w:pPr>
        <w:spacing w:after="200" w:line="276"/>
      </w:pPr>
      <w:r>
        <w:rPr>
          <w:rFonts w:ascii="Arial" w:cs="Arial" w:eastAsia="Arial" w:hAnsi="Arial"/>
          <w:color w:val="333333"/>
          <w:sz w:val="24"/>
          <w:szCs w:val="24"/>
        </w:rPr>
        <w:t xml:space="preserve">CSGN’s primary revenue mechanism is unprecedented in the pump.fun ecosystem. The CSGN token is launched on pump.fun, which generates trading fees on every buy and sell transaction. CSGN splits these fees: 50% goes directly to the streamer who is live during the trading activity, and 50% is retained by the network for operations, development, and growth.</w:t>
      </w:r>
    </w:p>
    <w:p>
      <w:pPr>
        <w:spacing w:after="200" w:line="276"/>
      </w:pPr>
      <w:r>
        <w:rPr>
          <w:rFonts w:ascii="Arial" w:cs="Arial" w:eastAsia="Arial" w:hAnsi="Arial"/>
          <w:color w:val="333333"/>
          <w:sz w:val="24"/>
          <w:szCs w:val="24"/>
        </w:rPr>
        <w:t xml:space="preserve">This is not an arbitrary fee split—it is purpose-built protocol economics. No other project on pump.fun has implemented a structured fee-sharing model tied to specific content delivery. This makes CSGN a first-mover in creating utility-driven tokenomics within the pump.fun ecosystem.</w:t>
      </w:r>
    </w:p>
    <w:p>
      <w:pPr>
        <w:pStyle w:val="Heading2"/>
      </w:pPr>
      <w:r>
        <w:t xml:space="preserve">4.2 Revenue Streams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312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Revenue Stream</w:t>
            </w:r>
          </w:p>
        </w:tc>
        <w:tc>
          <w:tcPr>
            <w:tcW w:type="dxa" w:w="312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12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Timeline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Token Trading Fees (50%)</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Network’s share of pump.fun trading fees generated during live broadcasts</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C0000"/>
                <w:sz w:val="20"/>
                <w:szCs w:val="20"/>
              </w:rPr>
              <w:t xml:space="preserve">Active now</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Auction Slot Revenue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Streamer bids for 3AM–2PM time slots; bid revenue retained by network</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20"/>
                <w:szCs w:val="20"/>
              </w:rPr>
              <w:t xml:space="preserve">Active now</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Sponsorships &amp; Brand Deals</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On-stream branding, sponsored segments, and crypto project partnerships</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C0000"/>
                <w:sz w:val="20"/>
                <w:szCs w:val="20"/>
              </w:rPr>
              <w:t xml:space="preserve">Q2 2026</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Daily Grid &amp; Squares Games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Free-to-play prediction games with token-gated premium features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20"/>
                <w:szCs w:val="20"/>
              </w:rPr>
              <w:t xml:space="preserve">Q3 2026</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Tournament Entry Fees</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Gaming tournaments and prediction leagues with entry fees and prize pools</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C0000"/>
                <w:sz w:val="20"/>
                <w:szCs w:val="20"/>
              </w:rPr>
              <w:t xml:space="preserve">Q4 2026</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Merchandise &amp; Events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Branded merchandise, live meet-ups, and ticketed events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20"/>
                <w:szCs w:val="20"/>
              </w:rPr>
              <w:t xml:space="preserve">2027</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Talent Management Fees</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Revenue share from representing CSGN-developed talent in external deals</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C0000"/>
                <w:sz w:val="20"/>
                <w:szCs w:val="20"/>
              </w:rPr>
              <w:t xml:space="preserve">2027+</w:t>
            </w:r>
          </w:p>
        </w:tc>
      </w:tr>
    </w:tbl>
    <w:p>
      <w:pPr>
        <w:pStyle w:val="Heading2"/>
      </w:pPr>
      <w:r>
        <w:t xml:space="preserve">4.3 Token Flywheel</w:t>
      </w:r>
    </w:p>
    <w:p>
      <w:pPr>
        <w:spacing w:after="200" w:line="276"/>
      </w:pPr>
      <w:r>
        <w:rPr>
          <w:rFonts w:ascii="Arial" w:cs="Arial" w:eastAsia="Arial" w:hAnsi="Arial"/>
          <w:color w:val="333333"/>
          <w:sz w:val="24"/>
          <w:szCs w:val="24"/>
        </w:rPr>
        <w:t xml:space="preserve">CSGN’s token economics create a self-reinforcing flywheel: compelling content drives viewership, viewership drives token trading volume, trading volume generates fees, fees reward streamers, rewarded streamers produce more compelling content. Each element feeds the next, creating compounding growth. As the network gains attention, the token’s trading volume increases, which directly increases revenue for both streamers and the network—without requiring any additional monetization infrastructure.</w:t>
      </w:r>
    </w:p>
    <w:p>
      <w:r>
        <w:br w:type="page"/>
      </w:r>
    </w:p>
    <w:p>
      <w:pPr>
        <w:pStyle w:val="Heading1"/>
      </w:pPr>
      <w:r>
        <w:t xml:space="preserve">5. Competitive Landscape</w:t>
      </w:r>
    </w:p>
    <w:p>
      <w:pPr>
        <w:spacing w:after="200" w:line="276"/>
      </w:pPr>
      <w:r>
        <w:rPr>
          <w:rFonts w:ascii="Arial" w:cs="Arial" w:eastAsia="Arial" w:hAnsi="Arial"/>
          <w:color w:val="333333"/>
          <w:sz w:val="24"/>
          <w:szCs w:val="24"/>
        </w:rPr>
        <w:t xml:space="preserve">CSGN does not compete head-to-head with Twitch, YouTube, or Kick. Those are multi-channel platforms where individual streamers build siloed audiences. CSGN is a network—a single curated channel with scheduled programming, editorial control, and shared viewership. The competitive comparison is to cable sports networks, not streaming platforms.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Feature</w:t>
            </w:r>
          </w:p>
        </w:tc>
        <w:tc>
          <w:tcPr>
            <w:tcW w:type="dxa" w:w="1872"/>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CSGN</w:t>
            </w:r>
          </w:p>
        </w:tc>
        <w:tc>
          <w:tcPr>
            <w:tcW w:type="dxa" w:w="1872"/>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Twitch/Kick</w:t>
            </w:r>
          </w:p>
        </w:tc>
        <w:tc>
          <w:tcPr>
            <w:tcW w:type="dxa" w:w="1872"/>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ESPN/FOX</w:t>
            </w:r>
          </w:p>
        </w:tc>
        <w:tc>
          <w:tcPr>
            <w:tcW w:type="dxa" w:w="1872"/>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Crypto YT</w:t>
            </w:r>
          </w:p>
        </w:tc>
      </w:tr>
      <w:tr>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333333"/>
                <w:sz w:val="18"/>
                <w:szCs w:val="18"/>
              </w:rPr>
              <w:t xml:space="preserve">24/7 Single Channel</w:t>
            </w:r>
          </w:p>
        </w:tc>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008800"/>
                <w:sz w:val="18"/>
                <w:szCs w:val="18"/>
              </w:rPr>
              <w:t xml:space="preserve">✓</w:t>
            </w:r>
          </w:p>
        </w:tc>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CC0000"/>
                <w:sz w:val="18"/>
                <w:szCs w:val="18"/>
              </w:rPr>
              <w:t xml:space="preserve">✗</w:t>
            </w:r>
          </w:p>
        </w:tc>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8800"/>
                <w:sz w:val="18"/>
                <w:szCs w:val="18"/>
              </w:rPr>
              <w:t xml:space="preserve">✓</w:t>
            </w:r>
          </w:p>
        </w:tc>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CC0000"/>
                <w:sz w:val="18"/>
                <w:szCs w:val="18"/>
              </w:rPr>
              <w:t xml:space="preserve">✗</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18"/>
                <w:szCs w:val="18"/>
              </w:rPr>
              <w:t xml:space="preserve">Token-Based Rewards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008800"/>
                <w:sz w:val="18"/>
                <w:szCs w:val="18"/>
              </w:rPr>
              <w:t xml:space="preserv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CC0000"/>
                <w:sz w:val="18"/>
                <w:szCs w:val="18"/>
              </w:rPr>
              <w:t xml:space="preserv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CC0000"/>
                <w:sz w:val="18"/>
                <w:szCs w:val="18"/>
              </w:rPr>
              <w:t xml:space="preserv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CC0000"/>
                <w:sz w:val="18"/>
                <w:szCs w:val="18"/>
              </w:rPr>
              <w:t xml:space="preserve">✗</w:t>
            </w:r>
          </w:p>
        </w:tc>
      </w:tr>
      <w:tr>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333333"/>
                <w:sz w:val="18"/>
                <w:szCs w:val="18"/>
              </w:rPr>
              <w:t xml:space="preserve">50% Fee Split to Talent</w:t>
            </w:r>
          </w:p>
        </w:tc>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008800"/>
                <w:sz w:val="18"/>
                <w:szCs w:val="18"/>
              </w:rPr>
              <w:t xml:space="preserve">✓</w:t>
            </w:r>
          </w:p>
        </w:tc>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CC0000"/>
                <w:sz w:val="18"/>
                <w:szCs w:val="18"/>
              </w:rPr>
              <w:t xml:space="preserve">✗</w:t>
            </w:r>
          </w:p>
        </w:tc>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CC0000"/>
                <w:sz w:val="18"/>
                <w:szCs w:val="18"/>
              </w:rPr>
              <w:t xml:space="preserve">✗</w:t>
            </w:r>
          </w:p>
        </w:tc>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CC0000"/>
                <w:sz w:val="18"/>
                <w:szCs w:val="18"/>
              </w:rPr>
              <w:t xml:space="preserve">✗</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18"/>
                <w:szCs w:val="18"/>
              </w:rPr>
              <w:t xml:space="preserve">Crypto-Native Content</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008800"/>
                <w:sz w:val="18"/>
                <w:szCs w:val="18"/>
              </w:rPr>
              <w:t xml:space="preserv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Partial</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CC0000"/>
                <w:sz w:val="18"/>
                <w:szCs w:val="18"/>
              </w:rPr>
              <w:t xml:space="preserv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8800"/>
                <w:sz w:val="18"/>
                <w:szCs w:val="18"/>
              </w:rPr>
              <w:t xml:space="preserve">✓</w:t>
            </w:r>
          </w:p>
        </w:tc>
      </w:tr>
      <w:tr>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333333"/>
                <w:sz w:val="18"/>
                <w:szCs w:val="18"/>
              </w:rPr>
              <w:t xml:space="preserve">Sports/Gaming Focus</w:t>
            </w:r>
          </w:p>
        </w:tc>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008800"/>
                <w:sz w:val="18"/>
                <w:szCs w:val="18"/>
              </w:rPr>
              <w:t xml:space="preserve">✓</w:t>
            </w:r>
          </w:p>
        </w:tc>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Partial</w:t>
            </w:r>
          </w:p>
        </w:tc>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8800"/>
                <w:sz w:val="18"/>
                <w:szCs w:val="18"/>
              </w:rPr>
              <w:t xml:space="preserve">✓</w:t>
            </w:r>
          </w:p>
        </w:tc>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CC0000"/>
                <w:sz w:val="18"/>
                <w:szCs w:val="18"/>
              </w:rPr>
              <w:t xml:space="preserve">✗</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18"/>
                <w:szCs w:val="18"/>
              </w:rPr>
              <w:t xml:space="preserve">Curated Programming</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008800"/>
                <w:sz w:val="18"/>
                <w:szCs w:val="18"/>
              </w:rPr>
              <w:t xml:space="preserv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CC0000"/>
                <w:sz w:val="18"/>
                <w:szCs w:val="18"/>
              </w:rPr>
              <w:t xml:space="preserv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8800"/>
                <w:sz w:val="18"/>
                <w:szCs w:val="18"/>
              </w:rPr>
              <w:t xml:space="preserv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CC0000"/>
                <w:sz w:val="18"/>
                <w:szCs w:val="18"/>
              </w:rPr>
              <w:t xml:space="preserve">✗</w:t>
            </w:r>
          </w:p>
        </w:tc>
      </w:tr>
      <w:tr>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333333"/>
                <w:sz w:val="18"/>
                <w:szCs w:val="18"/>
              </w:rPr>
              <w:t xml:space="preserve">On-Chain Economics</w:t>
            </w:r>
          </w:p>
        </w:tc>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008800"/>
                <w:sz w:val="18"/>
                <w:szCs w:val="18"/>
              </w:rPr>
              <w:t xml:space="preserve">✓</w:t>
            </w:r>
          </w:p>
        </w:tc>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CC0000"/>
                <w:sz w:val="18"/>
                <w:szCs w:val="18"/>
              </w:rPr>
              <w:t xml:space="preserve">✗</w:t>
            </w:r>
          </w:p>
        </w:tc>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CC0000"/>
                <w:sz w:val="18"/>
                <w:szCs w:val="18"/>
              </w:rPr>
              <w:t xml:space="preserve">✗</w:t>
            </w:r>
          </w:p>
        </w:tc>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CC0000"/>
                <w:sz w:val="18"/>
                <w:szCs w:val="18"/>
              </w:rPr>
              <w:t xml:space="preserve">✗</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18"/>
                <w:szCs w:val="18"/>
              </w:rPr>
              <w:t xml:space="preserve">Young Audience (&lt;35)</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008800"/>
                <w:sz w:val="18"/>
                <w:szCs w:val="18"/>
              </w:rPr>
              <w:t xml:space="preserv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8800"/>
                <w:sz w:val="18"/>
                <w:szCs w:val="18"/>
              </w:rPr>
              <w:t xml:space="preserv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CC0000"/>
                <w:sz w:val="18"/>
                <w:szCs w:val="18"/>
              </w:rPr>
              <w:t xml:space="preserv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8800"/>
                <w:sz w:val="18"/>
                <w:szCs w:val="18"/>
              </w:rPr>
              <w:t xml:space="preserve">✓</w:t>
            </w:r>
          </w:p>
        </w:tc>
      </w:tr>
      <w:tr>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333333"/>
                <w:sz w:val="18"/>
                <w:szCs w:val="18"/>
              </w:rPr>
              <w:t xml:space="preserve">Interactive Games</w:t>
            </w:r>
          </w:p>
        </w:tc>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333333"/>
                <w:sz w:val="18"/>
                <w:szCs w:val="18"/>
              </w:rPr>
              <w:t xml:space="preserve">✓ (Phase 2)</w:t>
            </w:r>
          </w:p>
        </w:tc>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CC0000"/>
                <w:sz w:val="18"/>
                <w:szCs w:val="18"/>
              </w:rPr>
              <w:t xml:space="preserve">✗</w:t>
            </w:r>
          </w:p>
        </w:tc>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CC0000"/>
                <w:sz w:val="18"/>
                <w:szCs w:val="18"/>
              </w:rPr>
              <w:t xml:space="preserve">✗</w:t>
            </w:r>
          </w:p>
        </w:tc>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CC0000"/>
                <w:sz w:val="18"/>
                <w:szCs w:val="18"/>
              </w:rPr>
              <w:t xml:space="preserve">✗</w:t>
            </w:r>
          </w:p>
        </w:tc>
      </w:tr>
    </w:tbl>
    <w:p>
      <w:pPr>
        <w:spacing w:after="200"/>
      </w:pPr>
    </w:p>
    <w:p>
      <w:pPr>
        <w:spacing w:after="200" w:line="276"/>
      </w:pPr>
      <w:r>
        <w:rPr>
          <w:rFonts w:ascii="Arial" w:cs="Arial" w:eastAsia="Arial" w:hAnsi="Arial"/>
          <w:color w:val="333333"/>
          <w:sz w:val="24"/>
          <w:szCs w:val="24"/>
        </w:rPr>
        <w:t xml:space="preserve">CSGN’s moat is the combination of curated single-channel programming, on-chain token economics with direct streamer fee-splitting, and a niche audience that no incumbent is serving. Each of these is defensible individually; together, they create a position that is extremely difficult for competitors to replicate without rebuilding from scratch.</w:t>
      </w:r>
    </w:p>
    <w:p>
      <w:r>
        <w:br w:type="page"/>
      </w:r>
    </w:p>
    <w:p>
      <w:pPr>
        <w:pStyle w:val="Heading1"/>
      </w:pPr>
      <w:r>
        <w:t xml:space="preserve">6. Growth Strategy &amp; Roadmap</w:t>
      </w:r>
    </w:p>
    <w:p>
      <w:pPr>
        <w:pStyle w:val="Heading2"/>
      </w:pPr>
      <w:r>
        <w:t xml:space="preserve">6.1 Phase 1: Network Launch &amp; Proof of Concept (Now – Q2 2026)</w:t>
      </w:r>
    </w:p>
    <w:p>
      <w:pPr>
        <w:spacing w:after="200" w:line="276"/>
      </w:pPr>
      <w:r>
        <w:rPr>
          <w:rFonts w:ascii="Arial" w:cs="Arial" w:eastAsia="Arial" w:hAnsi="Arial"/>
          <w:color w:val="333333"/>
          <w:sz w:val="24"/>
          <w:szCs w:val="24"/>
        </w:rPr>
        <w:t xml:space="preserve">Priority: Get the 24/7 stream live, prove the model works, and build initial audience.</w:t>
      </w:r>
    </w:p>
    <w:p>
      <w:pPr>
        <w:spacing w:after="200" w:line="276"/>
      </w:pPr>
      <w:r>
        <w:rPr>
          <w:rFonts w:ascii="Arial" w:cs="Arial" w:eastAsia="Arial" w:hAnsi="Arial"/>
          <w:b/>
          <w:bCs/>
          <w:color w:val="1A1A1A"/>
          <w:sz w:val="24"/>
          <w:szCs w:val="24"/>
        </w:rPr>
        <w:t xml:space="preserve">Key milestones: </w:t>
      </w:r>
      <w:r>
        <w:rPr>
          <w:rFonts w:ascii="Arial" w:cs="Arial" w:eastAsia="Arial" w:hAnsi="Arial"/>
          <w:color w:val="333333"/>
          <w:sz w:val="24"/>
          <w:szCs w:val="24"/>
        </w:rPr>
        <w:t xml:space="preserve">Launch continuous RTMP broadcast to pump.fun and CSGN website simultaneously. Onboard first 10–20 vetted streamers through the application pipeline. Fill the full broadcast day with a mix of live streamer slots and internal content (CEO gaming sessions, curated highlights). Establish daily social media cadence on X/Twitter with clip-based content strategy. Achieve consistent concurrent viewership baseline.</w:t>
      </w:r>
    </w:p>
    <w:p>
      <w:pPr>
        <w:pStyle w:val="Heading2"/>
      </w:pPr>
      <w:r>
        <w:t xml:space="preserve">6.2 Phase 2: Games &amp; Retention (Q3 2026)</w:t>
      </w:r>
    </w:p>
    <w:p>
      <w:pPr>
        <w:spacing w:after="200" w:line="276"/>
      </w:pPr>
      <w:r>
        <w:rPr>
          <w:rFonts w:ascii="Arial" w:cs="Arial" w:eastAsia="Arial" w:hAnsi="Arial"/>
          <w:color w:val="333333"/>
          <w:sz w:val="24"/>
          <w:szCs w:val="24"/>
        </w:rPr>
        <w:t xml:space="preserve">Priority: Layer in the Daily Grid and Squares games to drive daily engagement and return visits.</w:t>
      </w:r>
    </w:p>
    <w:p>
      <w:pPr>
        <w:spacing w:after="200" w:line="276"/>
      </w:pPr>
      <w:r>
        <w:rPr>
          <w:rFonts w:ascii="Arial" w:cs="Arial" w:eastAsia="Arial" w:hAnsi="Arial"/>
          <w:b/>
          <w:bCs/>
          <w:color w:val="1A1A1A"/>
          <w:sz w:val="24"/>
          <w:szCs w:val="24"/>
        </w:rPr>
        <w:t xml:space="preserve">Key milestones: </w:t>
      </w:r>
      <w:r>
        <w:rPr>
          <w:rFonts w:ascii="Arial" w:cs="Arial" w:eastAsia="Arial" w:hAnsi="Arial"/>
          <w:color w:val="333333"/>
          <w:sz w:val="24"/>
          <w:szCs w:val="24"/>
        </w:rPr>
        <w:t xml:space="preserve">Launch Daily Grid (Pick 5 free-to-play prediction game) with token-based rewards for 5/5 correct picks. Launch Squares (weekly score-based game tied to real sports outcomes). Build games engine architecture for rapid deployment of future game formats. Integrate game results and leaderboards into the live broadcast for on-stream engagement.</w:t>
      </w:r>
    </w:p>
    <w:p>
      <w:pPr>
        <w:pStyle w:val="Heading2"/>
      </w:pPr>
      <w:r>
        <w:t xml:space="preserve">6.3 Phase 3: Scale &amp; Monetization (Q4 2026 – Q1 2027)</w:t>
      </w:r>
    </w:p>
    <w:p>
      <w:pPr>
        <w:spacing w:after="200" w:line="276"/>
      </w:pPr>
      <w:r>
        <w:rPr>
          <w:rFonts w:ascii="Arial" w:cs="Arial" w:eastAsia="Arial" w:hAnsi="Arial"/>
          <w:color w:val="333333"/>
          <w:sz w:val="24"/>
          <w:szCs w:val="24"/>
        </w:rPr>
        <w:t xml:space="preserve">Priority: Formalize sponsorships, expand content verticals, and begin tournament operations.</w:t>
      </w:r>
    </w:p>
    <w:p>
      <w:pPr>
        <w:spacing w:after="200" w:line="276"/>
      </w:pPr>
      <w:r>
        <w:rPr>
          <w:rFonts w:ascii="Arial" w:cs="Arial" w:eastAsia="Arial" w:hAnsi="Arial"/>
          <w:b/>
          <w:bCs/>
          <w:color w:val="1A1A1A"/>
          <w:sz w:val="24"/>
          <w:szCs w:val="24"/>
        </w:rPr>
        <w:t xml:space="preserve">Key milestones: </w:t>
      </w:r>
      <w:r>
        <w:rPr>
          <w:rFonts w:ascii="Arial" w:cs="Arial" w:eastAsia="Arial" w:hAnsi="Arial"/>
          <w:color w:val="333333"/>
          <w:sz w:val="24"/>
          <w:szCs w:val="24"/>
        </w:rPr>
        <w:t xml:space="preserve">Close first brand sponsorship deals (crypto projects, gaming peripherals, sports betting platforms). Launch gaming tournaments with entry fees and prize pools broadcast on CSGN. Expand to 50+ active streamers in the talent pool. Introduce automated clip-to-social pipeline for real-time content distribution. Establish CSGN as the go-to network for breaking crypto news and drama coverage.</w:t>
      </w:r>
    </w:p>
    <w:p>
      <w:pPr>
        <w:pStyle w:val="Heading2"/>
      </w:pPr>
      <w:r>
        <w:t xml:space="preserve">6.4 Phase 4: Expansion &amp; IP Creation (2027+)</w:t>
      </w:r>
    </w:p>
    <w:p>
      <w:pPr>
        <w:spacing w:after="200" w:line="276"/>
      </w:pPr>
      <w:r>
        <w:rPr>
          <w:rFonts w:ascii="Arial" w:cs="Arial" w:eastAsia="Arial" w:hAnsi="Arial"/>
          <w:color w:val="333333"/>
          <w:sz w:val="24"/>
          <w:szCs w:val="24"/>
        </w:rPr>
        <w:t xml:space="preserve">Priority: Build owned intellectual property, launch live events, and establish CSGN as a talent development pipeline.</w:t>
      </w:r>
    </w:p>
    <w:p>
      <w:pPr>
        <w:spacing w:after="200" w:line="276"/>
      </w:pPr>
      <w:r>
        <w:rPr>
          <w:rFonts w:ascii="Arial" w:cs="Arial" w:eastAsia="Arial" w:hAnsi="Arial"/>
          <w:b/>
          <w:bCs/>
          <w:color w:val="1A1A1A"/>
          <w:sz w:val="24"/>
          <w:szCs w:val="24"/>
        </w:rPr>
        <w:t xml:space="preserve">Key milestones: </w:t>
      </w:r>
      <w:r>
        <w:rPr>
          <w:rFonts w:ascii="Arial" w:cs="Arial" w:eastAsia="Arial" w:hAnsi="Arial"/>
          <w:color w:val="333333"/>
          <w:sz w:val="24"/>
          <w:szCs w:val="24"/>
        </w:rPr>
        <w:t xml:space="preserve">Create CSGN-branded leagues and tournaments (esports leagues, prediction market competitions). Host first live meet-up/event. Begin talent management operations—representing CSGN-developed streamers in external brand deals and appearances. Explore expansion to additional blockchain ecosystems while maintaining Solana as home base. Evaluate potential for CSGN-branded merchandise line.</w:t>
      </w:r>
    </w:p>
    <w:p>
      <w:r>
        <w:br w:type="page"/>
      </w:r>
    </w:p>
    <w:p>
      <w:pPr>
        <w:pStyle w:val="Heading1"/>
      </w:pPr>
      <w:r>
        <w:t xml:space="preserve">7. Content Strategy</w:t>
      </w:r>
    </w:p>
    <w:p>
      <w:pPr>
        <w:pStyle w:val="Heading2"/>
      </w:pPr>
      <w:r>
        <w:t xml:space="preserve">7.1 The Two Pillars</w:t>
      </w:r>
    </w:p>
    <w:p>
      <w:pPr>
        <w:spacing w:after="200" w:line="276"/>
      </w:pPr>
      <w:r>
        <w:rPr>
          <w:rFonts w:ascii="Arial" w:cs="Arial" w:eastAsia="Arial" w:hAnsi="Arial"/>
          <w:b/>
          <w:bCs/>
          <w:color w:val="1A1A1A"/>
          <w:sz w:val="24"/>
          <w:szCs w:val="24"/>
        </w:rPr>
        <w:t xml:space="preserve">Pillar 1: The TMZ of Crypto. </w:t>
      </w:r>
      <w:r>
        <w:rPr>
          <w:rFonts w:ascii="Arial" w:cs="Arial" w:eastAsia="Arial" w:hAnsi="Arial"/>
          <w:color w:val="333333"/>
          <w:sz w:val="24"/>
          <w:szCs w:val="24"/>
        </w:rPr>
        <w:t xml:space="preserve">Daily coverage of crypto culture, drama, market movements, influencer beef, protocol controversies, and community narratives. This is the content that drives daily tune-in and social media virality. The crypto space generates drama at a pace that rivals reality television—CSGN is the network that covers it with energy, opinion, and speed.</w:t>
      </w:r>
    </w:p>
    <w:p>
      <w:pPr>
        <w:spacing w:after="200" w:line="276"/>
      </w:pPr>
      <w:r>
        <w:rPr>
          <w:rFonts w:ascii="Arial" w:cs="Arial" w:eastAsia="Arial" w:hAnsi="Arial"/>
          <w:b/>
          <w:bCs/>
          <w:color w:val="1A1A1A"/>
          <w:sz w:val="24"/>
          <w:szCs w:val="24"/>
        </w:rPr>
        <w:t xml:space="preserve">Pillar 2: The ESPN of Crypto. </w:t>
      </w:r>
      <w:r>
        <w:rPr>
          <w:rFonts w:ascii="Arial" w:cs="Arial" w:eastAsia="Arial" w:hAnsi="Arial"/>
          <w:color w:val="333333"/>
          <w:sz w:val="24"/>
          <w:szCs w:val="24"/>
        </w:rPr>
        <w:t xml:space="preserve">Sports gaming content (Madden, EA College Football, competitive shooters), esports coverage, fantasy and prediction gaming, and eventually CSGN’s own branded tournaments and leagues. Gaming is sports for this generation, and CSGN treats it accordingly.</w:t>
      </w:r>
    </w:p>
    <w:p>
      <w:pPr>
        <w:pStyle w:val="Heading2"/>
      </w:pPr>
      <w:r>
        <w:t xml:space="preserve">7.2 Internal Content Library</w:t>
      </w:r>
    </w:p>
    <w:p>
      <w:pPr>
        <w:spacing w:after="200" w:line="276"/>
      </w:pPr>
      <w:r>
        <w:rPr>
          <w:rFonts w:ascii="Arial" w:cs="Arial" w:eastAsia="Arial" w:hAnsi="Arial"/>
          <w:color w:val="333333"/>
          <w:sz w:val="24"/>
          <w:szCs w:val="24"/>
        </w:rPr>
        <w:t xml:space="preserve">Between live streamer slots, CSGN airs internally produced content: edited gaming sessions featuring the CEO and core team (College Football 25, Madden 26, Battlefield 6), highlight compilations, network promos, and curated segments. This content serves three purposes: it fills dead air with brand-consistent programming, it establishes the CEO and core team as on-screen talent, and it sets the tone and quality bar for the network. Having a team member with top-1000 CS:GO credentials adds legitimate competitive credibility.</w:t>
      </w:r>
    </w:p>
    <w:p>
      <w:pPr>
        <w:pStyle w:val="Heading2"/>
      </w:pPr>
      <w:r>
        <w:t xml:space="preserve">7.3 Social Media as a Growth Engine</w:t>
      </w:r>
    </w:p>
    <w:p>
      <w:pPr>
        <w:spacing w:after="200" w:line="276"/>
      </w:pPr>
      <w:r>
        <w:rPr>
          <w:rFonts w:ascii="Arial" w:cs="Arial" w:eastAsia="Arial" w:hAnsi="Arial"/>
          <w:color w:val="333333"/>
          <w:sz w:val="24"/>
          <w:szCs w:val="24"/>
        </w:rPr>
        <w:t xml:space="preserve">CSGN’s social media strategy is a core product, not a marketing afterthought. The goal is to become the fastest crypto content account on X/Twitter—first to every major story, with clips from the live stream that drive traffic back to the network. The future automated clipping pipeline will enable near-real-time distribution of stream highlights to X, TikTok, Instagram Reels, and YouTube Shorts. In the SportsCenter era, highlights drove tune-in. In the social era, clips drive traffic. CSGN will own the clip game for crypto content.</w:t>
      </w:r>
    </w:p>
    <w:p>
      <w:r>
        <w:br w:type="page"/>
      </w:r>
    </w:p>
    <w:p>
      <w:pPr>
        <w:pStyle w:val="Heading1"/>
      </w:pPr>
      <w:r>
        <w:t xml:space="preserve">8. Financial Projections</w:t>
      </w:r>
    </w:p>
    <w:p>
      <w:pPr>
        <w:spacing w:after="200" w:line="276"/>
      </w:pPr>
      <w:r>
        <w:rPr>
          <w:rFonts w:ascii="Arial" w:cs="Arial" w:eastAsia="Arial" w:hAnsi="Arial"/>
          <w:color w:val="333333"/>
          <w:sz w:val="24"/>
          <w:szCs w:val="24"/>
        </w:rPr>
        <w:t xml:space="preserve">The following projections model three scenarios based on token trading volume and audience growth. Revenue is primarily driven by pump.fun trading fees (network’s 50% share), auction slot revenue, and sponsorships as they come online.</w:t>
      </w:r>
    </w:p>
    <w:p>
      <w:pPr>
        <w:pStyle w:val="Heading2"/>
      </w:pPr>
      <w:r>
        <w:t xml:space="preserve">8.1 Conservative Scenario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465"/>
        <w:gridCol w:w="1465"/>
        <w:gridCol w:w="1465"/>
        <w:gridCol w:w="1465"/>
      </w:tblGrid>
      <w:tr>
        <w:tc>
          <w:tcPr>
            <w:tcW w:type="dxa" w:w="35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Metric</w:t>
            </w:r>
          </w:p>
        </w:tc>
        <w:tc>
          <w:tcPr>
            <w:tcW w:type="dxa" w:w="1465"/>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jc w:val="right"/>
            </w:pPr>
            <w:r>
              <w:rPr>
                <w:rFonts w:ascii="Arial" w:cs="Arial" w:eastAsia="Arial" w:hAnsi="Arial"/>
                <w:b/>
                <w:bCs/>
                <w:color w:val="FFFFFF"/>
                <w:sz w:val="20"/>
                <w:szCs w:val="20"/>
              </w:rPr>
              <w:t xml:space="preserve">Q2 2026</w:t>
            </w:r>
          </w:p>
        </w:tc>
        <w:tc>
          <w:tcPr>
            <w:tcW w:type="dxa" w:w="1465"/>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jc w:val="right"/>
            </w:pPr>
            <w:r>
              <w:rPr>
                <w:rFonts w:ascii="Arial" w:cs="Arial" w:eastAsia="Arial" w:hAnsi="Arial"/>
                <w:b/>
                <w:bCs/>
                <w:color w:val="FFFFFF"/>
                <w:sz w:val="20"/>
                <w:szCs w:val="20"/>
              </w:rPr>
              <w:t xml:space="preserve">Q4 2026</w:t>
            </w:r>
          </w:p>
        </w:tc>
        <w:tc>
          <w:tcPr>
            <w:tcW w:type="dxa" w:w="1465"/>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jc w:val="right"/>
            </w:pPr>
            <w:r>
              <w:rPr>
                <w:rFonts w:ascii="Arial" w:cs="Arial" w:eastAsia="Arial" w:hAnsi="Arial"/>
                <w:b/>
                <w:bCs/>
                <w:color w:val="FFFFFF"/>
                <w:sz w:val="20"/>
                <w:szCs w:val="20"/>
              </w:rPr>
              <w:t xml:space="preserve">Q2 2027</w:t>
            </w:r>
          </w:p>
        </w:tc>
        <w:tc>
          <w:tcPr>
            <w:tcW w:type="dxa" w:w="1465"/>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jc w:val="right"/>
            </w:pPr>
            <w:r>
              <w:rPr>
                <w:rFonts w:ascii="Arial" w:cs="Arial" w:eastAsia="Arial" w:hAnsi="Arial"/>
                <w:b/>
                <w:bCs/>
                <w:color w:val="FFFFFF"/>
                <w:sz w:val="20"/>
                <w:szCs w:val="20"/>
              </w:rPr>
              <w:t xml:space="preserve">Q4 2027</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Daily Trading Volume</w:t>
            </w:r>
          </w:p>
        </w:tc>
        <w:tc>
          <w:tcPr>
            <w:tcW w:type="dxa" w:w="146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color w:val="333333"/>
                <w:sz w:val="20"/>
                <w:szCs w:val="20"/>
              </w:rPr>
              <w:t xml:space="preserve">$50K</w:t>
            </w:r>
          </w:p>
        </w:tc>
        <w:tc>
          <w:tcPr>
            <w:tcW w:type="dxa" w:w="146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color w:val="333333"/>
                <w:sz w:val="20"/>
                <w:szCs w:val="20"/>
              </w:rPr>
              <w:t xml:space="preserve">$150K</w:t>
            </w:r>
          </w:p>
        </w:tc>
        <w:tc>
          <w:tcPr>
            <w:tcW w:type="dxa" w:w="146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color w:val="333333"/>
                <w:sz w:val="20"/>
                <w:szCs w:val="20"/>
              </w:rPr>
              <w:t xml:space="preserve">$400K</w:t>
            </w:r>
          </w:p>
        </w:tc>
        <w:tc>
          <w:tcPr>
            <w:tcW w:type="dxa" w:w="146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color w:val="333333"/>
                <w:sz w:val="20"/>
                <w:szCs w:val="20"/>
              </w:rPr>
              <w:t xml:space="preserve">$750K</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Network Fee Revenue (50%)</w:t>
            </w:r>
          </w:p>
        </w:tc>
        <w:tc>
          <w:tcPr>
            <w:tcW w:type="dxa" w:w="146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color w:val="333333"/>
                <w:sz w:val="20"/>
                <w:szCs w:val="20"/>
              </w:rPr>
              <w:t xml:space="preserve">$750/day</w:t>
            </w:r>
          </w:p>
        </w:tc>
        <w:tc>
          <w:tcPr>
            <w:tcW w:type="dxa" w:w="146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color w:val="333333"/>
                <w:sz w:val="20"/>
                <w:szCs w:val="20"/>
              </w:rPr>
              <w:t xml:space="preserve">$2.3K/day</w:t>
            </w:r>
          </w:p>
        </w:tc>
        <w:tc>
          <w:tcPr>
            <w:tcW w:type="dxa" w:w="146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color w:val="333333"/>
                <w:sz w:val="20"/>
                <w:szCs w:val="20"/>
              </w:rPr>
              <w:t xml:space="preserve">$6K/day</w:t>
            </w:r>
          </w:p>
        </w:tc>
        <w:tc>
          <w:tcPr>
            <w:tcW w:type="dxa" w:w="146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color w:val="333333"/>
                <w:sz w:val="20"/>
                <w:szCs w:val="20"/>
              </w:rPr>
              <w:t xml:space="preserve">$11.3K/day</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Monthly Net Revenue</w:t>
            </w:r>
          </w:p>
        </w:tc>
        <w:tc>
          <w:tcPr>
            <w:tcW w:type="dxa" w:w="146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color w:val="333333"/>
                <w:sz w:val="20"/>
                <w:szCs w:val="20"/>
              </w:rPr>
              <w:t xml:space="preserve">$22.5K</w:t>
            </w:r>
          </w:p>
        </w:tc>
        <w:tc>
          <w:tcPr>
            <w:tcW w:type="dxa" w:w="146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color w:val="333333"/>
                <w:sz w:val="20"/>
                <w:szCs w:val="20"/>
              </w:rPr>
              <w:t xml:space="preserve">$68K</w:t>
            </w:r>
          </w:p>
        </w:tc>
        <w:tc>
          <w:tcPr>
            <w:tcW w:type="dxa" w:w="146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color w:val="333333"/>
                <w:sz w:val="20"/>
                <w:szCs w:val="20"/>
              </w:rPr>
              <w:t xml:space="preserve">$180K</w:t>
            </w:r>
          </w:p>
        </w:tc>
        <w:tc>
          <w:tcPr>
            <w:tcW w:type="dxa" w:w="146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color w:val="333333"/>
                <w:sz w:val="20"/>
                <w:szCs w:val="20"/>
              </w:rPr>
              <w:t xml:space="preserve">$338K</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Concurrent Viewers (avg)</w:t>
            </w:r>
          </w:p>
        </w:tc>
        <w:tc>
          <w:tcPr>
            <w:tcW w:type="dxa" w:w="146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color w:val="333333"/>
                <w:sz w:val="20"/>
                <w:szCs w:val="20"/>
              </w:rPr>
              <w:t xml:space="preserve">50</w:t>
            </w:r>
          </w:p>
        </w:tc>
        <w:tc>
          <w:tcPr>
            <w:tcW w:type="dxa" w:w="146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color w:val="333333"/>
                <w:sz w:val="20"/>
                <w:szCs w:val="20"/>
              </w:rPr>
              <w:t xml:space="preserve">200</w:t>
            </w:r>
          </w:p>
        </w:tc>
        <w:tc>
          <w:tcPr>
            <w:tcW w:type="dxa" w:w="146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color w:val="333333"/>
                <w:sz w:val="20"/>
                <w:szCs w:val="20"/>
              </w:rPr>
              <w:t xml:space="preserve">500</w:t>
            </w:r>
          </w:p>
        </w:tc>
        <w:tc>
          <w:tcPr>
            <w:tcW w:type="dxa" w:w="146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color w:val="333333"/>
                <w:sz w:val="20"/>
                <w:szCs w:val="20"/>
              </w:rPr>
              <w:t xml:space="preserve">1,200</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Active Streamers</w:t>
            </w:r>
          </w:p>
        </w:tc>
        <w:tc>
          <w:tcPr>
            <w:tcW w:type="dxa" w:w="146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color w:val="333333"/>
                <w:sz w:val="20"/>
                <w:szCs w:val="20"/>
              </w:rPr>
              <w:t xml:space="preserve">10</w:t>
            </w:r>
          </w:p>
        </w:tc>
        <w:tc>
          <w:tcPr>
            <w:tcW w:type="dxa" w:w="146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color w:val="333333"/>
                <w:sz w:val="20"/>
                <w:szCs w:val="20"/>
              </w:rPr>
              <w:t xml:space="preserve">25</w:t>
            </w:r>
          </w:p>
        </w:tc>
        <w:tc>
          <w:tcPr>
            <w:tcW w:type="dxa" w:w="146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color w:val="333333"/>
                <w:sz w:val="20"/>
                <w:szCs w:val="20"/>
              </w:rPr>
              <w:t xml:space="preserve">50</w:t>
            </w:r>
          </w:p>
        </w:tc>
        <w:tc>
          <w:tcPr>
            <w:tcW w:type="dxa" w:w="146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color w:val="333333"/>
                <w:sz w:val="20"/>
                <w:szCs w:val="20"/>
              </w:rPr>
              <w:t xml:space="preserve">80</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Sponsorship Revenue/mo</w:t>
            </w:r>
          </w:p>
        </w:tc>
        <w:tc>
          <w:tcPr>
            <w:tcW w:type="dxa" w:w="146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color w:val="333333"/>
                <w:sz w:val="20"/>
                <w:szCs w:val="20"/>
              </w:rPr>
              <w:t xml:space="preserve">$0</w:t>
            </w:r>
          </w:p>
        </w:tc>
        <w:tc>
          <w:tcPr>
            <w:tcW w:type="dxa" w:w="146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color w:val="333333"/>
                <w:sz w:val="20"/>
                <w:szCs w:val="20"/>
              </w:rPr>
              <w:t xml:space="preserve">$5K</w:t>
            </w:r>
          </w:p>
        </w:tc>
        <w:tc>
          <w:tcPr>
            <w:tcW w:type="dxa" w:w="146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color w:val="333333"/>
                <w:sz w:val="20"/>
                <w:szCs w:val="20"/>
              </w:rPr>
              <w:t xml:space="preserve">$25K</w:t>
            </w:r>
          </w:p>
        </w:tc>
        <w:tc>
          <w:tcPr>
            <w:tcW w:type="dxa" w:w="146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color w:val="333333"/>
                <w:sz w:val="20"/>
                <w:szCs w:val="20"/>
              </w:rPr>
              <w:t xml:space="preserve">$75K</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Total Monthly Revenue</w:t>
            </w:r>
          </w:p>
        </w:tc>
        <w:tc>
          <w:tcPr>
            <w:tcW w:type="dxa" w:w="146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color w:val="333333"/>
                <w:sz w:val="20"/>
                <w:szCs w:val="20"/>
              </w:rPr>
              <w:t xml:space="preserve">$22.5K</w:t>
            </w:r>
          </w:p>
        </w:tc>
        <w:tc>
          <w:tcPr>
            <w:tcW w:type="dxa" w:w="146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color w:val="333333"/>
                <w:sz w:val="20"/>
                <w:szCs w:val="20"/>
              </w:rPr>
              <w:t xml:space="preserve">$73K</w:t>
            </w:r>
          </w:p>
        </w:tc>
        <w:tc>
          <w:tcPr>
            <w:tcW w:type="dxa" w:w="146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color w:val="333333"/>
                <w:sz w:val="20"/>
                <w:szCs w:val="20"/>
              </w:rPr>
              <w:t xml:space="preserve">$205K</w:t>
            </w:r>
          </w:p>
        </w:tc>
        <w:tc>
          <w:tcPr>
            <w:tcW w:type="dxa" w:w="146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color w:val="333333"/>
                <w:sz w:val="20"/>
                <w:szCs w:val="20"/>
              </w:rPr>
              <w:t xml:space="preserve">$413K</w:t>
            </w:r>
          </w:p>
        </w:tc>
      </w:tr>
    </w:tbl>
    <w:p>
      <w:pPr>
        <w:pStyle w:val="Heading2"/>
      </w:pPr>
      <w:r>
        <w:t xml:space="preserve">8.2 Base Scenario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465"/>
        <w:gridCol w:w="1465"/>
        <w:gridCol w:w="1465"/>
        <w:gridCol w:w="1465"/>
      </w:tblGrid>
      <w:tr>
        <w:tc>
          <w:tcPr>
            <w:tcW w:type="dxa" w:w="35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Metric</w:t>
            </w:r>
          </w:p>
        </w:tc>
        <w:tc>
          <w:tcPr>
            <w:tcW w:type="dxa" w:w="1465"/>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jc w:val="right"/>
            </w:pPr>
            <w:r>
              <w:rPr>
                <w:rFonts w:ascii="Arial" w:cs="Arial" w:eastAsia="Arial" w:hAnsi="Arial"/>
                <w:b/>
                <w:bCs/>
                <w:color w:val="FFFFFF"/>
                <w:sz w:val="20"/>
                <w:szCs w:val="20"/>
              </w:rPr>
              <w:t xml:space="preserve">Q2 2026</w:t>
            </w:r>
          </w:p>
        </w:tc>
        <w:tc>
          <w:tcPr>
            <w:tcW w:type="dxa" w:w="1465"/>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jc w:val="right"/>
            </w:pPr>
            <w:r>
              <w:rPr>
                <w:rFonts w:ascii="Arial" w:cs="Arial" w:eastAsia="Arial" w:hAnsi="Arial"/>
                <w:b/>
                <w:bCs/>
                <w:color w:val="FFFFFF"/>
                <w:sz w:val="20"/>
                <w:szCs w:val="20"/>
              </w:rPr>
              <w:t xml:space="preserve">Q4 2026</w:t>
            </w:r>
          </w:p>
        </w:tc>
        <w:tc>
          <w:tcPr>
            <w:tcW w:type="dxa" w:w="1465"/>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jc w:val="right"/>
            </w:pPr>
            <w:r>
              <w:rPr>
                <w:rFonts w:ascii="Arial" w:cs="Arial" w:eastAsia="Arial" w:hAnsi="Arial"/>
                <w:b/>
                <w:bCs/>
                <w:color w:val="FFFFFF"/>
                <w:sz w:val="20"/>
                <w:szCs w:val="20"/>
              </w:rPr>
              <w:t xml:space="preserve">Q2 2027</w:t>
            </w:r>
          </w:p>
        </w:tc>
        <w:tc>
          <w:tcPr>
            <w:tcW w:type="dxa" w:w="1465"/>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jc w:val="right"/>
            </w:pPr>
            <w:r>
              <w:rPr>
                <w:rFonts w:ascii="Arial" w:cs="Arial" w:eastAsia="Arial" w:hAnsi="Arial"/>
                <w:b/>
                <w:bCs/>
                <w:color w:val="FFFFFF"/>
                <w:sz w:val="20"/>
                <w:szCs w:val="20"/>
              </w:rPr>
              <w:t xml:space="preserve">Q4 2027</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Daily Trading Volume</w:t>
            </w:r>
          </w:p>
        </w:tc>
        <w:tc>
          <w:tcPr>
            <w:tcW w:type="dxa" w:w="146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color w:val="333333"/>
                <w:sz w:val="20"/>
                <w:szCs w:val="20"/>
              </w:rPr>
              <w:t xml:space="preserve">$150K</w:t>
            </w:r>
          </w:p>
        </w:tc>
        <w:tc>
          <w:tcPr>
            <w:tcW w:type="dxa" w:w="146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color w:val="333333"/>
                <w:sz w:val="20"/>
                <w:szCs w:val="20"/>
              </w:rPr>
              <w:t xml:space="preserve">$500K</w:t>
            </w:r>
          </w:p>
        </w:tc>
        <w:tc>
          <w:tcPr>
            <w:tcW w:type="dxa" w:w="146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color w:val="333333"/>
                <w:sz w:val="20"/>
                <w:szCs w:val="20"/>
              </w:rPr>
              <w:t xml:space="preserve">$1.5M</w:t>
            </w:r>
          </w:p>
        </w:tc>
        <w:tc>
          <w:tcPr>
            <w:tcW w:type="dxa" w:w="146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color w:val="333333"/>
                <w:sz w:val="20"/>
                <w:szCs w:val="20"/>
              </w:rPr>
              <w:t xml:space="preserve">$3M</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Network Fee Revenue (50%)</w:t>
            </w:r>
          </w:p>
        </w:tc>
        <w:tc>
          <w:tcPr>
            <w:tcW w:type="dxa" w:w="146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color w:val="333333"/>
                <w:sz w:val="20"/>
                <w:szCs w:val="20"/>
              </w:rPr>
              <w:t xml:space="preserve">$2.3K/day</w:t>
            </w:r>
          </w:p>
        </w:tc>
        <w:tc>
          <w:tcPr>
            <w:tcW w:type="dxa" w:w="146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color w:val="333333"/>
                <w:sz w:val="20"/>
                <w:szCs w:val="20"/>
              </w:rPr>
              <w:t xml:space="preserve">$7.5K/day</w:t>
            </w:r>
          </w:p>
        </w:tc>
        <w:tc>
          <w:tcPr>
            <w:tcW w:type="dxa" w:w="146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color w:val="333333"/>
                <w:sz w:val="20"/>
                <w:szCs w:val="20"/>
              </w:rPr>
              <w:t xml:space="preserve">$22.5K/day</w:t>
            </w:r>
          </w:p>
        </w:tc>
        <w:tc>
          <w:tcPr>
            <w:tcW w:type="dxa" w:w="146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color w:val="333333"/>
                <w:sz w:val="20"/>
                <w:szCs w:val="20"/>
              </w:rPr>
              <w:t xml:space="preserve">$45K/day</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Monthly Net Revenue</w:t>
            </w:r>
          </w:p>
        </w:tc>
        <w:tc>
          <w:tcPr>
            <w:tcW w:type="dxa" w:w="146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color w:val="333333"/>
                <w:sz w:val="20"/>
                <w:szCs w:val="20"/>
              </w:rPr>
              <w:t xml:space="preserve">$68K</w:t>
            </w:r>
          </w:p>
        </w:tc>
        <w:tc>
          <w:tcPr>
            <w:tcW w:type="dxa" w:w="146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color w:val="333333"/>
                <w:sz w:val="20"/>
                <w:szCs w:val="20"/>
              </w:rPr>
              <w:t xml:space="preserve">$225K</w:t>
            </w:r>
          </w:p>
        </w:tc>
        <w:tc>
          <w:tcPr>
            <w:tcW w:type="dxa" w:w="146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color w:val="333333"/>
                <w:sz w:val="20"/>
                <w:szCs w:val="20"/>
              </w:rPr>
              <w:t xml:space="preserve">$675K</w:t>
            </w:r>
          </w:p>
        </w:tc>
        <w:tc>
          <w:tcPr>
            <w:tcW w:type="dxa" w:w="146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color w:val="333333"/>
                <w:sz w:val="20"/>
                <w:szCs w:val="20"/>
              </w:rPr>
              <w:t xml:space="preserve">$1.35M</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Concurrent Viewers (avg)</w:t>
            </w:r>
          </w:p>
        </w:tc>
        <w:tc>
          <w:tcPr>
            <w:tcW w:type="dxa" w:w="146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color w:val="333333"/>
                <w:sz w:val="20"/>
                <w:szCs w:val="20"/>
              </w:rPr>
              <w:t xml:space="preserve">150</w:t>
            </w:r>
          </w:p>
        </w:tc>
        <w:tc>
          <w:tcPr>
            <w:tcW w:type="dxa" w:w="146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color w:val="333333"/>
                <w:sz w:val="20"/>
                <w:szCs w:val="20"/>
              </w:rPr>
              <w:t xml:space="preserve">600</w:t>
            </w:r>
          </w:p>
        </w:tc>
        <w:tc>
          <w:tcPr>
            <w:tcW w:type="dxa" w:w="146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color w:val="333333"/>
                <w:sz w:val="20"/>
                <w:szCs w:val="20"/>
              </w:rPr>
              <w:t xml:space="preserve">2,000</w:t>
            </w:r>
          </w:p>
        </w:tc>
        <w:tc>
          <w:tcPr>
            <w:tcW w:type="dxa" w:w="146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color w:val="333333"/>
                <w:sz w:val="20"/>
                <w:szCs w:val="20"/>
              </w:rPr>
              <w:t xml:space="preserve">5,000</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Active Streamers</w:t>
            </w:r>
          </w:p>
        </w:tc>
        <w:tc>
          <w:tcPr>
            <w:tcW w:type="dxa" w:w="146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color w:val="333333"/>
                <w:sz w:val="20"/>
                <w:szCs w:val="20"/>
              </w:rPr>
              <w:t xml:space="preserve">20</w:t>
            </w:r>
          </w:p>
        </w:tc>
        <w:tc>
          <w:tcPr>
            <w:tcW w:type="dxa" w:w="146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color w:val="333333"/>
                <w:sz w:val="20"/>
                <w:szCs w:val="20"/>
              </w:rPr>
              <w:t xml:space="preserve">50</w:t>
            </w:r>
          </w:p>
        </w:tc>
        <w:tc>
          <w:tcPr>
            <w:tcW w:type="dxa" w:w="146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color w:val="333333"/>
                <w:sz w:val="20"/>
                <w:szCs w:val="20"/>
              </w:rPr>
              <w:t xml:space="preserve">100</w:t>
            </w:r>
          </w:p>
        </w:tc>
        <w:tc>
          <w:tcPr>
            <w:tcW w:type="dxa" w:w="146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color w:val="333333"/>
                <w:sz w:val="20"/>
                <w:szCs w:val="20"/>
              </w:rPr>
              <w:t xml:space="preserve">200</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Sponsorship Revenue/mo</w:t>
            </w:r>
          </w:p>
        </w:tc>
        <w:tc>
          <w:tcPr>
            <w:tcW w:type="dxa" w:w="146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color w:val="333333"/>
                <w:sz w:val="20"/>
                <w:szCs w:val="20"/>
              </w:rPr>
              <w:t xml:space="preserve">$5K</w:t>
            </w:r>
          </w:p>
        </w:tc>
        <w:tc>
          <w:tcPr>
            <w:tcW w:type="dxa" w:w="146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color w:val="333333"/>
                <w:sz w:val="20"/>
                <w:szCs w:val="20"/>
              </w:rPr>
              <w:t xml:space="preserve">$25K</w:t>
            </w:r>
          </w:p>
        </w:tc>
        <w:tc>
          <w:tcPr>
            <w:tcW w:type="dxa" w:w="146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color w:val="333333"/>
                <w:sz w:val="20"/>
                <w:szCs w:val="20"/>
              </w:rPr>
              <w:t xml:space="preserve">$100K</w:t>
            </w:r>
          </w:p>
        </w:tc>
        <w:tc>
          <w:tcPr>
            <w:tcW w:type="dxa" w:w="146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color w:val="333333"/>
                <w:sz w:val="20"/>
                <w:szCs w:val="20"/>
              </w:rPr>
              <w:t xml:space="preserve">$300K</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Games Revenue/mo</w:t>
            </w:r>
          </w:p>
        </w:tc>
        <w:tc>
          <w:tcPr>
            <w:tcW w:type="dxa" w:w="146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color w:val="333333"/>
                <w:sz w:val="20"/>
                <w:szCs w:val="20"/>
              </w:rPr>
              <w:t xml:space="preserve">$0</w:t>
            </w:r>
          </w:p>
        </w:tc>
        <w:tc>
          <w:tcPr>
            <w:tcW w:type="dxa" w:w="146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color w:val="333333"/>
                <w:sz w:val="20"/>
                <w:szCs w:val="20"/>
              </w:rPr>
              <w:t xml:space="preserve">$15K</w:t>
            </w:r>
          </w:p>
        </w:tc>
        <w:tc>
          <w:tcPr>
            <w:tcW w:type="dxa" w:w="146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color w:val="333333"/>
                <w:sz w:val="20"/>
                <w:szCs w:val="20"/>
              </w:rPr>
              <w:t xml:space="preserve">$75K</w:t>
            </w:r>
          </w:p>
        </w:tc>
        <w:tc>
          <w:tcPr>
            <w:tcW w:type="dxa" w:w="146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color w:val="333333"/>
                <w:sz w:val="20"/>
                <w:szCs w:val="20"/>
              </w:rPr>
              <w:t xml:space="preserve">$200K</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Total Monthly Revenue</w:t>
            </w:r>
          </w:p>
        </w:tc>
        <w:tc>
          <w:tcPr>
            <w:tcW w:type="dxa" w:w="146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color w:val="333333"/>
                <w:sz w:val="20"/>
                <w:szCs w:val="20"/>
              </w:rPr>
              <w:t xml:space="preserve">$73K</w:t>
            </w:r>
          </w:p>
        </w:tc>
        <w:tc>
          <w:tcPr>
            <w:tcW w:type="dxa" w:w="146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color w:val="333333"/>
                <w:sz w:val="20"/>
                <w:szCs w:val="20"/>
              </w:rPr>
              <w:t xml:space="preserve">$265K</w:t>
            </w:r>
          </w:p>
        </w:tc>
        <w:tc>
          <w:tcPr>
            <w:tcW w:type="dxa" w:w="146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color w:val="333333"/>
                <w:sz w:val="20"/>
                <w:szCs w:val="20"/>
              </w:rPr>
              <w:t xml:space="preserve">$850K</w:t>
            </w:r>
          </w:p>
        </w:tc>
        <w:tc>
          <w:tcPr>
            <w:tcW w:type="dxa" w:w="146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color w:val="333333"/>
                <w:sz w:val="20"/>
                <w:szCs w:val="20"/>
              </w:rPr>
              <w:t xml:space="preserve">$1.85M</w:t>
            </w:r>
          </w:p>
        </w:tc>
      </w:tr>
    </w:tbl>
    <w:p>
      <w:pPr>
        <w:pStyle w:val="Heading2"/>
      </w:pPr>
      <w:r>
        <w:t xml:space="preserve">8.3 Bull Scenario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465"/>
        <w:gridCol w:w="1465"/>
        <w:gridCol w:w="1465"/>
        <w:gridCol w:w="1465"/>
      </w:tblGrid>
      <w:tr>
        <w:tc>
          <w:tcPr>
            <w:tcW w:type="dxa" w:w="35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Metric</w:t>
            </w:r>
          </w:p>
        </w:tc>
        <w:tc>
          <w:tcPr>
            <w:tcW w:type="dxa" w:w="1465"/>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jc w:val="right"/>
            </w:pPr>
            <w:r>
              <w:rPr>
                <w:rFonts w:ascii="Arial" w:cs="Arial" w:eastAsia="Arial" w:hAnsi="Arial"/>
                <w:b/>
                <w:bCs/>
                <w:color w:val="FFFFFF"/>
                <w:sz w:val="20"/>
                <w:szCs w:val="20"/>
              </w:rPr>
              <w:t xml:space="preserve">Q2 2026</w:t>
            </w:r>
          </w:p>
        </w:tc>
        <w:tc>
          <w:tcPr>
            <w:tcW w:type="dxa" w:w="1465"/>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jc w:val="right"/>
            </w:pPr>
            <w:r>
              <w:rPr>
                <w:rFonts w:ascii="Arial" w:cs="Arial" w:eastAsia="Arial" w:hAnsi="Arial"/>
                <w:b/>
                <w:bCs/>
                <w:color w:val="FFFFFF"/>
                <w:sz w:val="20"/>
                <w:szCs w:val="20"/>
              </w:rPr>
              <w:t xml:space="preserve">Q4 2026</w:t>
            </w:r>
          </w:p>
        </w:tc>
        <w:tc>
          <w:tcPr>
            <w:tcW w:type="dxa" w:w="1465"/>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jc w:val="right"/>
            </w:pPr>
            <w:r>
              <w:rPr>
                <w:rFonts w:ascii="Arial" w:cs="Arial" w:eastAsia="Arial" w:hAnsi="Arial"/>
                <w:b/>
                <w:bCs/>
                <w:color w:val="FFFFFF"/>
                <w:sz w:val="20"/>
                <w:szCs w:val="20"/>
              </w:rPr>
              <w:t xml:space="preserve">Q2 2027</w:t>
            </w:r>
          </w:p>
        </w:tc>
        <w:tc>
          <w:tcPr>
            <w:tcW w:type="dxa" w:w="1465"/>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jc w:val="right"/>
            </w:pPr>
            <w:r>
              <w:rPr>
                <w:rFonts w:ascii="Arial" w:cs="Arial" w:eastAsia="Arial" w:hAnsi="Arial"/>
                <w:b/>
                <w:bCs/>
                <w:color w:val="FFFFFF"/>
                <w:sz w:val="20"/>
                <w:szCs w:val="20"/>
              </w:rPr>
              <w:t xml:space="preserve">Q4 2027</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Daily Trading Volume</w:t>
            </w:r>
          </w:p>
        </w:tc>
        <w:tc>
          <w:tcPr>
            <w:tcW w:type="dxa" w:w="146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color w:val="333333"/>
                <w:sz w:val="20"/>
                <w:szCs w:val="20"/>
              </w:rPr>
              <w:t xml:space="preserve">$500K</w:t>
            </w:r>
          </w:p>
        </w:tc>
        <w:tc>
          <w:tcPr>
            <w:tcW w:type="dxa" w:w="146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color w:val="333333"/>
                <w:sz w:val="20"/>
                <w:szCs w:val="20"/>
              </w:rPr>
              <w:t xml:space="preserve">$2M</w:t>
            </w:r>
          </w:p>
        </w:tc>
        <w:tc>
          <w:tcPr>
            <w:tcW w:type="dxa" w:w="146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color w:val="333333"/>
                <w:sz w:val="20"/>
                <w:szCs w:val="20"/>
              </w:rPr>
              <w:t xml:space="preserve">$8M</w:t>
            </w:r>
          </w:p>
        </w:tc>
        <w:tc>
          <w:tcPr>
            <w:tcW w:type="dxa" w:w="146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color w:val="333333"/>
                <w:sz w:val="20"/>
                <w:szCs w:val="20"/>
              </w:rPr>
              <w:t xml:space="preserve">$20M</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Network Fee Revenue (50%)</w:t>
            </w:r>
          </w:p>
        </w:tc>
        <w:tc>
          <w:tcPr>
            <w:tcW w:type="dxa" w:w="146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color w:val="333333"/>
                <w:sz w:val="20"/>
                <w:szCs w:val="20"/>
              </w:rPr>
              <w:t xml:space="preserve">$7.5K/day</w:t>
            </w:r>
          </w:p>
        </w:tc>
        <w:tc>
          <w:tcPr>
            <w:tcW w:type="dxa" w:w="146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color w:val="333333"/>
                <w:sz w:val="20"/>
                <w:szCs w:val="20"/>
              </w:rPr>
              <w:t xml:space="preserve">$30K/day</w:t>
            </w:r>
          </w:p>
        </w:tc>
        <w:tc>
          <w:tcPr>
            <w:tcW w:type="dxa" w:w="146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color w:val="333333"/>
                <w:sz w:val="20"/>
                <w:szCs w:val="20"/>
              </w:rPr>
              <w:t xml:space="preserve">$120K/day</w:t>
            </w:r>
          </w:p>
        </w:tc>
        <w:tc>
          <w:tcPr>
            <w:tcW w:type="dxa" w:w="146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color w:val="333333"/>
                <w:sz w:val="20"/>
                <w:szCs w:val="20"/>
              </w:rPr>
              <w:t xml:space="preserve">$300K/day</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Monthly Net Revenue</w:t>
            </w:r>
          </w:p>
        </w:tc>
        <w:tc>
          <w:tcPr>
            <w:tcW w:type="dxa" w:w="146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color w:val="333333"/>
                <w:sz w:val="20"/>
                <w:szCs w:val="20"/>
              </w:rPr>
              <w:t xml:space="preserve">$225K</w:t>
            </w:r>
          </w:p>
        </w:tc>
        <w:tc>
          <w:tcPr>
            <w:tcW w:type="dxa" w:w="146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color w:val="333333"/>
                <w:sz w:val="20"/>
                <w:szCs w:val="20"/>
              </w:rPr>
              <w:t xml:space="preserve">$900K</w:t>
            </w:r>
          </w:p>
        </w:tc>
        <w:tc>
          <w:tcPr>
            <w:tcW w:type="dxa" w:w="146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color w:val="333333"/>
                <w:sz w:val="20"/>
                <w:szCs w:val="20"/>
              </w:rPr>
              <w:t xml:space="preserve">$3.6M</w:t>
            </w:r>
          </w:p>
        </w:tc>
        <w:tc>
          <w:tcPr>
            <w:tcW w:type="dxa" w:w="146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color w:val="333333"/>
                <w:sz w:val="20"/>
                <w:szCs w:val="20"/>
              </w:rPr>
              <w:t xml:space="preserve">$9M</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Concurrent Viewers (avg)</w:t>
            </w:r>
          </w:p>
        </w:tc>
        <w:tc>
          <w:tcPr>
            <w:tcW w:type="dxa" w:w="146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color w:val="333333"/>
                <w:sz w:val="20"/>
                <w:szCs w:val="20"/>
              </w:rPr>
              <w:t xml:space="preserve">500</w:t>
            </w:r>
          </w:p>
        </w:tc>
        <w:tc>
          <w:tcPr>
            <w:tcW w:type="dxa" w:w="146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color w:val="333333"/>
                <w:sz w:val="20"/>
                <w:szCs w:val="20"/>
              </w:rPr>
              <w:t xml:space="preserve">3,000</w:t>
            </w:r>
          </w:p>
        </w:tc>
        <w:tc>
          <w:tcPr>
            <w:tcW w:type="dxa" w:w="146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color w:val="333333"/>
                <w:sz w:val="20"/>
                <w:szCs w:val="20"/>
              </w:rPr>
              <w:t xml:space="preserve">10,000</w:t>
            </w:r>
          </w:p>
        </w:tc>
        <w:tc>
          <w:tcPr>
            <w:tcW w:type="dxa" w:w="146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color w:val="333333"/>
                <w:sz w:val="20"/>
                <w:szCs w:val="20"/>
              </w:rPr>
              <w:t xml:space="preserve">25,000+</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Active Streamers</w:t>
            </w:r>
          </w:p>
        </w:tc>
        <w:tc>
          <w:tcPr>
            <w:tcW w:type="dxa" w:w="146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color w:val="333333"/>
                <w:sz w:val="20"/>
                <w:szCs w:val="20"/>
              </w:rPr>
              <w:t xml:space="preserve">40</w:t>
            </w:r>
          </w:p>
        </w:tc>
        <w:tc>
          <w:tcPr>
            <w:tcW w:type="dxa" w:w="146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color w:val="333333"/>
                <w:sz w:val="20"/>
                <w:szCs w:val="20"/>
              </w:rPr>
              <w:t xml:space="preserve">100</w:t>
            </w:r>
          </w:p>
        </w:tc>
        <w:tc>
          <w:tcPr>
            <w:tcW w:type="dxa" w:w="146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color w:val="333333"/>
                <w:sz w:val="20"/>
                <w:szCs w:val="20"/>
              </w:rPr>
              <w:t xml:space="preserve">250</w:t>
            </w:r>
          </w:p>
        </w:tc>
        <w:tc>
          <w:tcPr>
            <w:tcW w:type="dxa" w:w="146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color w:val="333333"/>
                <w:sz w:val="20"/>
                <w:szCs w:val="20"/>
              </w:rPr>
              <w:t xml:space="preserve">500+</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Sponsorship Revenue/mo</w:t>
            </w:r>
          </w:p>
        </w:tc>
        <w:tc>
          <w:tcPr>
            <w:tcW w:type="dxa" w:w="146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color w:val="333333"/>
                <w:sz w:val="20"/>
                <w:szCs w:val="20"/>
              </w:rPr>
              <w:t xml:space="preserve">$25K</w:t>
            </w:r>
          </w:p>
        </w:tc>
        <w:tc>
          <w:tcPr>
            <w:tcW w:type="dxa" w:w="146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color w:val="333333"/>
                <w:sz w:val="20"/>
                <w:szCs w:val="20"/>
              </w:rPr>
              <w:t xml:space="preserve">$150K</w:t>
            </w:r>
          </w:p>
        </w:tc>
        <w:tc>
          <w:tcPr>
            <w:tcW w:type="dxa" w:w="146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color w:val="333333"/>
                <w:sz w:val="20"/>
                <w:szCs w:val="20"/>
              </w:rPr>
              <w:t xml:space="preserve">$500K</w:t>
            </w:r>
          </w:p>
        </w:tc>
        <w:tc>
          <w:tcPr>
            <w:tcW w:type="dxa" w:w="146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color w:val="333333"/>
                <w:sz w:val="20"/>
                <w:szCs w:val="20"/>
              </w:rPr>
              <w:t xml:space="preserve">$1.5M</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Games Revenue/mo</w:t>
            </w:r>
          </w:p>
        </w:tc>
        <w:tc>
          <w:tcPr>
            <w:tcW w:type="dxa" w:w="146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color w:val="333333"/>
                <w:sz w:val="20"/>
                <w:szCs w:val="20"/>
              </w:rPr>
              <w:t xml:space="preserve">$0</w:t>
            </w:r>
          </w:p>
        </w:tc>
        <w:tc>
          <w:tcPr>
            <w:tcW w:type="dxa" w:w="146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color w:val="333333"/>
                <w:sz w:val="20"/>
                <w:szCs w:val="20"/>
              </w:rPr>
              <w:t xml:space="preserve">$50K</w:t>
            </w:r>
          </w:p>
        </w:tc>
        <w:tc>
          <w:tcPr>
            <w:tcW w:type="dxa" w:w="146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color w:val="333333"/>
                <w:sz w:val="20"/>
                <w:szCs w:val="20"/>
              </w:rPr>
              <w:t xml:space="preserve">$300K</w:t>
            </w:r>
          </w:p>
        </w:tc>
        <w:tc>
          <w:tcPr>
            <w:tcW w:type="dxa" w:w="146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color w:val="333333"/>
                <w:sz w:val="20"/>
                <w:szCs w:val="20"/>
              </w:rPr>
              <w:t xml:space="preserve">$1M</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Total Monthly Revenue</w:t>
            </w:r>
          </w:p>
        </w:tc>
        <w:tc>
          <w:tcPr>
            <w:tcW w:type="dxa" w:w="146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color w:val="333333"/>
                <w:sz w:val="20"/>
                <w:szCs w:val="20"/>
              </w:rPr>
              <w:t xml:space="preserve">$250K</w:t>
            </w:r>
          </w:p>
        </w:tc>
        <w:tc>
          <w:tcPr>
            <w:tcW w:type="dxa" w:w="146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color w:val="333333"/>
                <w:sz w:val="20"/>
                <w:szCs w:val="20"/>
              </w:rPr>
              <w:t xml:space="preserve">$1.1M</w:t>
            </w:r>
          </w:p>
        </w:tc>
        <w:tc>
          <w:tcPr>
            <w:tcW w:type="dxa" w:w="146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color w:val="333333"/>
                <w:sz w:val="20"/>
                <w:szCs w:val="20"/>
              </w:rPr>
              <w:t xml:space="preserve">$4.4M</w:t>
            </w:r>
          </w:p>
        </w:tc>
        <w:tc>
          <w:tcPr>
            <w:tcW w:type="dxa" w:w="146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color w:val="333333"/>
                <w:sz w:val="20"/>
                <w:szCs w:val="20"/>
              </w:rPr>
              <w:t xml:space="preserve">$11.5M</w:t>
            </w:r>
          </w:p>
        </w:tc>
      </w:tr>
    </w:tbl>
    <w:p>
      <w:pPr>
        <w:spacing w:after="200"/>
      </w:pPr>
    </w:p>
    <w:p>
      <w:pPr>
        <w:spacing w:after="200" w:line="276"/>
      </w:pPr>
      <w:r>
        <w:rPr>
          <w:rFonts w:ascii="Arial" w:cs="Arial" w:eastAsia="Arial" w:hAnsi="Arial"/>
          <w:color w:val="333333"/>
          <w:sz w:val="24"/>
          <w:szCs w:val="24"/>
        </w:rPr>
        <w:t xml:space="preserve">Comparable earnings reference: smaller-tier gambling and prediction apps generate $3M–$15M in annual revenue at maturity. CSGN’s base scenario reaches this range by Q2 2027, with the bull scenario exceeding it significantly. The token flywheel effect means revenue scales non-linearly with audience growth—more viewers means more trading activity means disproportionately more fee revenue.</w:t>
      </w:r>
    </w:p>
    <w:p>
      <w:r>
        <w:br w:type="page"/>
      </w:r>
    </w:p>
    <w:p>
      <w:pPr>
        <w:pStyle w:val="Heading1"/>
      </w:pPr>
      <w:r>
        <w:t xml:space="preserve">9. Team &amp; Organizational Plan</w:t>
      </w:r>
    </w:p>
    <w:p>
      <w:pPr>
        <w:pStyle w:val="Heading2"/>
      </w:pPr>
      <w:r>
        <w:t xml:space="preserve">9.1 Current Structure</w:t>
      </w:r>
    </w:p>
    <w:p>
      <w:pPr>
        <w:spacing w:after="200" w:line="276"/>
      </w:pPr>
      <w:r>
        <w:rPr>
          <w:rFonts w:ascii="Arial" w:cs="Arial" w:eastAsia="Arial" w:hAnsi="Arial"/>
          <w:color w:val="333333"/>
          <w:sz w:val="24"/>
          <w:szCs w:val="24"/>
        </w:rPr>
        <w:t xml:space="preserve">CSGN operates as a lean, founder-led organization. The CEO serves as creative director, on-air talent, and business strategist. The CTO leads technical architecture, broadcast infrastructure, platform development, and product engineering. This lean structure is intentional at this stage—it allows rapid iteration and maintains creative control during the critical network launch phase.</w:t>
      </w:r>
    </w:p>
    <w:p>
      <w:pPr>
        <w:pStyle w:val="Heading2"/>
      </w:pPr>
      <w:r>
        <w:t xml:space="preserve">9.2 Hiring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312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312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312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C0000"/>
                <w:sz w:val="20"/>
                <w:szCs w:val="20"/>
              </w:rPr>
              <w:t xml:space="preserve">Phase 1</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Community Manager / Social Media Lead</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Own X/Twitter, Discord, and social clip distribution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C0000"/>
                <w:sz w:val="20"/>
                <w:szCs w:val="20"/>
              </w:rPr>
              <w:t xml:space="preserve">Phase 1</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Stream Operations Manager</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Monitor live broadcast, manage streamer scheduling</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C0000"/>
                <w:sz w:val="20"/>
                <w:szCs w:val="20"/>
              </w:rPr>
              <w:t xml:space="preserve">Phase 2</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Content Producer / Editor</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Produce internal content, highlights, and promos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C0000"/>
                <w:sz w:val="20"/>
                <w:szCs w:val="20"/>
              </w:rPr>
              <w:t xml:space="preserve">Phase 2</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Games Developer</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Build and maintain Daily Grid, Squares, and future games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C0000"/>
                <w:sz w:val="20"/>
                <w:szCs w:val="20"/>
              </w:rPr>
              <w:t xml:space="preserve">Phase 3</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Sales / Partnerships Lead</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Close sponsorships and brand deals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C0000"/>
                <w:sz w:val="20"/>
                <w:szCs w:val="20"/>
              </w:rPr>
              <w:t xml:space="preserve">Phase 3</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Talent Scout / Relations Manager</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Recruit streamers and manage talent pipeline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C0000"/>
                <w:sz w:val="20"/>
                <w:szCs w:val="20"/>
              </w:rPr>
              <w:t xml:space="preserve">Phase 4</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Event Coordinator</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Plan and execute live events and tournaments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C0000"/>
                <w:sz w:val="20"/>
                <w:szCs w:val="20"/>
              </w:rPr>
              <w:t xml:space="preserve">Phase 4</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Finance / Operations Manager</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Scale business operations and financial management</w:t>
            </w:r>
          </w:p>
        </w:tc>
      </w:tr>
    </w:tbl>
    <w:p>
      <w:r>
        <w:br w:type="page"/>
      </w:r>
    </w:p>
    <w:p>
      <w:pPr>
        <w:pStyle w:val="Heading1"/>
      </w:pPr>
      <w:r>
        <w:t xml:space="preserve">10. Risk Analysis &amp;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80"/>
        <w:gridCol w:w="2480"/>
      </w:tblGrid>
      <w:tr>
        <w:tc>
          <w:tcPr>
            <w:tcW w:type="dxa" w:w="234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234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234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234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18"/>
                <w:szCs w:val="18"/>
              </w:rPr>
              <w:t xml:space="preserve">Regulatory changes to crypto tokens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C0000"/>
                <w:sz w:val="18"/>
                <w:szCs w:val="18"/>
              </w:rPr>
              <w:t xml:space="preserve">High</w:t>
            </w:r>
          </w:p>
        </w:tc>
        <w:tc>
          <w:tcPr>
            <w:tcW w:type="dxa" w:w="2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Medium</w:t>
            </w:r>
          </w:p>
        </w:tc>
        <w:tc>
          <w:tcPr>
            <w:tcW w:type="dxa" w:w="2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Structure token as utility/access token, not security. Maintain legal counsel. Build revenue streams that don’t depend solely on token trading.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18"/>
                <w:szCs w:val="18"/>
              </w:rPr>
              <w:t xml:space="preserve">Pump.fun platform risk (downtime, policy changes)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18"/>
                <w:szCs w:val="18"/>
              </w:rPr>
              <w:t xml:space="preserve">High</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Low-Medium</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Dual-output architecture means CSGN website continues independently. Diversify to additional DEX platforms as they emerge.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18"/>
                <w:szCs w:val="18"/>
              </w:rPr>
              <w:t xml:space="preserve">Low initial trading volume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C8800"/>
                <w:sz w:val="18"/>
                <w:szCs w:val="18"/>
              </w:rPr>
              <w:t xml:space="preserve">Medium</w:t>
            </w:r>
          </w:p>
        </w:tc>
        <w:tc>
          <w:tcPr>
            <w:tcW w:type="dxa" w:w="2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Medium</w:t>
            </w:r>
          </w:p>
        </w:tc>
        <w:tc>
          <w:tcPr>
            <w:tcW w:type="dxa" w:w="2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Focus on content quality and audience building first. Trading volume follows attention. Social media virality strategy drives discovery.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18"/>
                <w:szCs w:val="18"/>
              </w:rPr>
              <w:t xml:space="preserve">Streamer no-shows or quality issues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8800"/>
                <w:sz w:val="18"/>
                <w:szCs w:val="18"/>
              </w:rPr>
              <w:t xml:space="preserve">Medium</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High</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Automated failover to internal content. Vetting pipeline ensures baseline quality. CEO-controlled prime block maintains standards.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18"/>
                <w:szCs w:val="18"/>
              </w:rPr>
              <w:t xml:space="preserve">Crypto bear market reducing audience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C8800"/>
                <w:sz w:val="18"/>
                <w:szCs w:val="18"/>
              </w:rPr>
              <w:t xml:space="preserve">Medium</w:t>
            </w:r>
          </w:p>
        </w:tc>
        <w:tc>
          <w:tcPr>
            <w:tcW w:type="dxa" w:w="2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Medium</w:t>
            </w:r>
          </w:p>
        </w:tc>
        <w:tc>
          <w:tcPr>
            <w:tcW w:type="dxa" w:w="2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Crypto drama content is actually more engaging in bear markets (collapses, rug pulls, regulatory battles). Games and sports content provide non-market-dependent engagement.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18"/>
                <w:szCs w:val="18"/>
              </w:rPr>
              <w:t xml:space="preserve">Competitive entry from larger platforms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8800"/>
                <w:sz w:val="18"/>
                <w:szCs w:val="18"/>
              </w:rPr>
              <w:t xml:space="preserve">Medium</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Low</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First-mover advantage in pump.fun fee-splitting. Network effects from established streamer pool and audience. Single-channel model is culturally distinct from multi-channel competitors.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18"/>
                <w:szCs w:val="18"/>
              </w:rPr>
              <w:t xml:space="preserve">Technical infrastructure failure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C0000"/>
                <w:sz w:val="18"/>
                <w:szCs w:val="18"/>
              </w:rPr>
              <w:t xml:space="preserve">High</w:t>
            </w:r>
          </w:p>
        </w:tc>
        <w:tc>
          <w:tcPr>
            <w:tcW w:type="dxa" w:w="2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Low</w:t>
            </w:r>
          </w:p>
        </w:tc>
        <w:tc>
          <w:tcPr>
            <w:tcW w:type="dxa" w:w="2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Redundant server architecture, automated restart scripts, monitoring and alerting. Failover content ensures zero dead air.</w:t>
            </w:r>
          </w:p>
        </w:tc>
      </w:tr>
    </w:tbl>
    <w:p>
      <w:r>
        <w:br w:type="page"/>
      </w:r>
    </w:p>
    <w:p>
      <w:pPr>
        <w:pStyle w:val="Heading1"/>
      </w:pPr>
      <w:r>
        <w:t xml:space="preserve">11. Investment Ask &amp; Use of Funds</w:t>
      </w:r>
    </w:p>
    <w:p>
      <w:pPr>
        <w:spacing w:after="200" w:line="276"/>
      </w:pPr>
      <w:r>
        <w:rPr>
          <w:rFonts w:ascii="Arial" w:cs="Arial" w:eastAsia="Arial" w:hAnsi="Arial"/>
          <w:color w:val="333333"/>
          <w:sz w:val="24"/>
          <w:szCs w:val="24"/>
        </w:rPr>
        <w:t xml:space="preserve">CSGN is designed to be capital-efficient. The lean team structure and token-based revenue model mean the network can reach profitability at relatively modest audience sizes. However, strategic investment would accelerate growth in three critical areas:</w:t>
      </w:r>
    </w:p>
    <w:p>
      <w:pPr>
        <w:pStyle w:val="Heading2"/>
      </w:pPr>
      <w:r>
        <w:t xml:space="preserve">11.1 Funding Allocation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930"/>
        <w:gridCol w:w="2930"/>
      </w:tblGrid>
      <w:tr>
        <w:tc>
          <w:tcPr>
            <w:tcW w:type="dxa" w:w="312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312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Allocation</w:t>
            </w:r>
          </w:p>
        </w:tc>
        <w:tc>
          <w:tcPr>
            <w:tcW w:type="dxa" w:w="312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Infrastructure &amp; Engineering</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C0000"/>
                <w:sz w:val="20"/>
                <w:szCs w:val="20"/>
              </w:rPr>
              <w:t xml:space="preserve">35%</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Dedicated servers, CDN, broadcast reliability, games engine development</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Content &amp; Talent Acquisition</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C0000"/>
                <w:sz w:val="20"/>
                <w:szCs w:val="20"/>
              </w:rPr>
              <w:t xml:space="preserve">25%</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Streamer signing bonuses, internal content production, equipment</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Marketing &amp; Social Growth</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C0000"/>
                <w:sz w:val="20"/>
                <w:szCs w:val="20"/>
              </w:rPr>
              <w:t xml:space="preserve">20%</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Paid social campaigns, influencer partnerships, community building</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Operations &amp; Legal</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C0000"/>
                <w:sz w:val="20"/>
                <w:szCs w:val="20"/>
              </w:rPr>
              <w:t xml:space="preserve">15%</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Legal counsel, compliance, business operations, accounting</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Reserve</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C0000"/>
                <w:sz w:val="20"/>
                <w:szCs w:val="20"/>
              </w:rPr>
              <w:t xml:space="preserve">5%</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Emergency fund and opportunistic investments</w:t>
            </w:r>
          </w:p>
        </w:tc>
      </w:tr>
    </w:tbl>
    <w:p>
      <w:pPr>
        <w:spacing w:after="200"/>
      </w:pPr>
    </w:p>
    <w:p>
      <w:pPr>
        <w:pStyle w:val="Heading2"/>
      </w:pPr>
      <w:r>
        <w:t xml:space="preserve">11.2 Why Now</w:t>
      </w:r>
    </w:p>
    <w:p>
      <w:pPr>
        <w:spacing w:after="200" w:line="276"/>
      </w:pPr>
      <w:r>
        <w:rPr>
          <w:rFonts w:ascii="Arial" w:cs="Arial" w:eastAsia="Arial" w:hAnsi="Arial"/>
          <w:color w:val="333333"/>
          <w:sz w:val="24"/>
          <w:szCs w:val="24"/>
        </w:rPr>
        <w:t xml:space="preserve">The window for CSGN is open right now and will not stay open indefinitely. The pump.fun ecosystem is maturing, and the first project to establish a legitimate, content-driven, fee-sharing model will define the category. Traditional sports media is at its weakest point of cultural relevance with young audiences. Crypto culture continues to grow in both participants and cultural influence. Young broadcasting talent is actively seeking alternatives to legacy media pipelines. CSGN is positioned at the intersection of all four of these trends, with working infrastructure and a clear path to revenue. The question is not whether this opportunity exists—it’s whether we move fast enough to own it.</w:t>
      </w:r>
    </w:p>
    <w:p>
      <w:pPr>
        <w:spacing w:before="600"/>
      </w:pPr>
    </w:p>
    <w:p>
      <w:pPr>
        <w:pBdr>
          <w:bottom w:val="single" w:color="CC0000" w:sz="2" w:space="8"/>
        </w:pBdr>
        <w:spacing w:before="100" w:after="100"/>
      </w:pPr>
    </w:p>
    <w:p>
      <w:pPr>
        <w:spacing w:before="400"/>
        <w:jc w:val="center"/>
      </w:pPr>
      <w:r>
        <w:rPr>
          <w:rFonts w:ascii="Arial" w:cs="Arial" w:eastAsia="Arial" w:hAnsi="Arial"/>
          <w:b/>
          <w:bCs/>
          <w:color w:val="CC0000"/>
          <w:sz w:val="28"/>
          <w:szCs w:val="28"/>
        </w:rPr>
        <w:t xml:space="preserve">CSGN — The Future of Sports Broadcasting Starts Here</w:t>
      </w:r>
    </w:p>
    <w:p>
      <w:pPr>
        <w:spacing w:after="200"/>
        <w:jc w:val="center"/>
      </w:pPr>
      <w:r>
        <w:rPr>
          <w:rFonts w:ascii="Arial" w:cs="Arial" w:eastAsia="Arial" w:hAnsi="Arial"/>
          <w:color w:val="666666"/>
          <w:sz w:val="22"/>
          <w:szCs w:val="22"/>
        </w:rPr>
        <w:t xml:space="preserve">csgn.gg</w:t>
      </w:r>
    </w:p>
    <w:sectPr>
      <w:headerReference w:type="default" r:id="rId8"/>
      <w:footerReference w:type="default" r:id="rId9"/>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0000" w:sz="2" w:space="4"/>
      </w:pBdr>
    </w:pPr>
    <w:r>
      <w:rPr>
        <w:rFonts w:ascii="Arial" w:cs="Arial" w:eastAsia="Arial" w:hAnsi="Arial"/>
        <w:i/>
        <w:iCs/>
        <w:color w:val="666666"/>
        <w:sz w:val="18"/>
        <w:szCs w:val="18"/>
      </w:rPr>
      <w:t xml:space="preserve">CSGN Business Plan</w:t>
    </w:r>
    <w:r>
      <w:rPr>
        <w:rFonts w:ascii="Arial" w:cs="Arial" w:eastAsia="Arial" w:hAnsi="Arial"/>
        <w:color w:val="666666"/>
        <w:sz w:val="18"/>
        <w:szCs w:val="18"/>
      </w:rPr>
      <w:ptab w:alignment="right" w:relativeTo="margin" w:leader="none"/>
    </w:r>
    <w:r>
      <w:rPr>
        <w:rFonts w:ascii="Arial" w:cs="Arial" w:eastAsia="Arial" w:hAnsi="Arial"/>
        <w:b/>
        <w:bCs/>
        <w:color w:val="CC0000"/>
        <w:sz w:val="18"/>
        <w:szCs w:val="18"/>
      </w:rPr>
      <w:t xml:space="preserve">CONFIDENTIAL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0000" w:sz="2" w:space="4"/>
      </w:pBdr>
    </w:pPr>
    <w:r>
      <w:rPr>
        <w:rFonts w:ascii="Arial" w:cs="Arial" w:eastAsia="Arial" w:hAnsi="Arial"/>
        <w:i/>
        <w:iCs/>
        <w:color w:val="666666"/>
        <w:sz w:val="18"/>
        <w:szCs w:val="18"/>
      </w:rPr>
      <w:t xml:space="preserve">CSGN Business Plan</w:t>
    </w:r>
    <w:r>
      <w:rPr>
        <w:rFonts w:ascii="Arial" w:cs="Arial" w:eastAsia="Arial" w:hAnsi="Arial"/>
        <w:color w:val="666666"/>
        <w:sz w:val="18"/>
        <w:szCs w:val="18"/>
      </w:rPr>
      <w:ptab w:alignment="right" w:relativeTo="margin" w:leader="none"/>
    </w:r>
    <w:r>
      <w:rPr>
        <w:rFonts w:ascii="Arial" w:cs="Arial" w:eastAsia="Arial" w:hAnsi="Arial"/>
        <w:b/>
        <w:bCs/>
        <w:color w:val="CC0000"/>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Phase %1:"/>
      <w:lvlJc w:val="left"/>
      <w:pPr>
        <w:ind w:left="720" w:hanging="7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CC0000" w:sz="4" w:space="4"/>
      </w:pBdr>
      <w:spacing w:before="360" w:after="200"/>
      <w:outlineLvl w:val="0"/>
    </w:pPr>
    <w:rPr>
      <w:rFonts w:ascii="Arial" w:cs="Arial" w:eastAsia="Arial" w:hAnsi="Arial"/>
      <w:b/>
      <w:bCs/>
      <w:color w:val="1A1A1A"/>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CC0000"/>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2026-02-18T17:41:13.174Z</dcterms:created>
  <dcterms:modified xsi:type="dcterms:W3CDTF">2026-02-18T17:41:13.175Z</dcterms:modified>
</cp:coreProperties>
</file>

<file path=docProps/custom.xml><?xml version="1.0" encoding="utf-8"?>
<Properties xmlns="http://schemas.openxmlformats.org/officeDocument/2006/custom-properties" xmlns:vt="http://schemas.openxmlformats.org/officeDocument/2006/docPropsVTypes"/>
</file>