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Les variants sont généralement nommés selon ce schéma :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FreeMono" w:hAnsi="FreeMono" w:cs="FreeMono"/>
          <w:sz w:val="22"/>
          <w:szCs w:val="22"/>
          <w:lang w:val="fr-BE"/>
        </w:rPr>
      </w:pPr>
      <w:r>
        <w:rPr>
          <w:rFonts w:ascii="FreeMono" w:hAnsi="FreeMono" w:eastAsia="FreeMono" w:cs="FreeMono"/>
          <w:color w:val="000000"/>
          <w:sz w:val="22"/>
          <w:szCs w:val="22"/>
          <w:lang w:val="fr-BE"/>
        </w:rPr>
        <w:t xml:space="preserve">&lt;Nom du gène&gt;-&lt;Lettre1&gt;&lt;Position&gt;&lt;Lettre2&gt;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FreeMono" w:hAnsi="FreeMono" w:cs="FreeMono"/>
          <w:sz w:val="22"/>
          <w:szCs w:val="22"/>
          <w:lang w:val="fr-B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Lettre1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: acide aminé d’origine (code à 1 lettre, ex. R = Arg)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Position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: rang de l’acide aminé dans la protéine (ex. 175)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Lettre2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: acide aminé substitué (ex. H = His)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Par exemple,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TP53-R175H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signifie que, dans la protéine p53, l’arginine (R) en position 175 est remplacée par une histidine (H).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Vos 3 variants à étudier sont: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TP53-R175H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TP53-Y220C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TP53-R273H</w:t>
      </w:r>
      <w:r>
        <w:rPr>
          <w:rFonts w:ascii="Arial" w:hAnsi="Arial" w:eastAsia="Arial" w:cs="Arial"/>
          <w:b w:val="0"/>
          <w:bCs w:val="0"/>
          <w:sz w:val="22"/>
          <w:szCs w:val="22"/>
          <w:lang w:val="fr-B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Instructions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Ouvrez votre navigateur et allez sur :</w:t>
        <w:br/>
      </w:r>
      <w:hyperlink r:id="rId9" w:tooltip="https://www.oncokb.org/" w:history="1">
        <w:r>
          <w:rPr>
            <w:rStyle w:val="186"/>
            <w:rFonts w:ascii="Arial" w:hAnsi="Arial" w:eastAsia="Arial" w:cs="Arial"/>
            <w:color w:val="0000ee"/>
            <w:sz w:val="22"/>
            <w:szCs w:val="22"/>
            <w:u w:val="single"/>
            <w:lang w:val="fr-BE"/>
          </w:rPr>
          <w:t xml:space="preserve">https://www.oncokb.org/</w:t>
        </w:r>
      </w:hyperlink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Dans la barre de recherche, saisissez chaque nom de variant (par ex. </w:t>
      </w:r>
      <w:r>
        <w:rPr>
          <w:rFonts w:ascii="Arial" w:hAnsi="Arial" w:eastAsia="Arial" w:cs="Arial"/>
          <w:i/>
          <w:color w:val="000000"/>
          <w:sz w:val="22"/>
          <w:szCs w:val="22"/>
          <w:lang w:val="fr-BE"/>
        </w:rPr>
        <w:t xml:space="preserve">TP53 R175H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) et validez.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Pour chacun, notez les informations clés affichées.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Questions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Pour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chaque variant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, répondez aux questions suivantes :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1. Quelle est la classification de la 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mutation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(Oncogenic, Likely Oncogenic, Variant of Unknown Significance…)?</w:t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2. Quelle est le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n-US"/>
        </w:rPr>
        <w:t xml:space="preserve">effet de la alteration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?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S’agit-il d’une perte de fonction (loss-of-function) ou d’un effet dominant-négatif/gain-of-fonction ?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fr-BE"/>
        </w:rPr>
      </w:pP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n-US"/>
        </w:rPr>
        <w:t xml:space="preserve">3.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Quel « Level »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 (niveau) de preuve scientifique est affich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é sur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OncoKB (ex. Level 1, 2A, 3B…) assigné à ce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tte variante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?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</w:r>
      <w:r>
        <w:rPr>
          <w:rFonts w:ascii="Arial" w:hAnsi="Arial" w:cs="Arial"/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n-US"/>
        </w:rPr>
        <w:t xml:space="preserve">4.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Existe-t-il une thérapie ciblée approuvée ou en essai pour ce variant ? Si oui, laquelle ?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00F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oncokb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2025-06-16T14:58:02Z</dcterms:modified>
</cp:coreProperties>
</file>