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before="0"/>
        <w:ind w:right="0" w:firstLine="0" w:left="0"/>
        <w:jc w:val="center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b/>
          <w:bCs/>
          <w:smallCaps/>
          <w:sz w:val="32"/>
          <w:szCs w:val="32"/>
          <w:rtl w:val="0"/>
        </w:rPr>
        <w:t xml:space="preserve">CYRUS SHAHRIARI</w:t>
      </w:r>
      <w:r>
        <w:rPr>
          <w:rFonts w:ascii="Calibri" w:hAnsi="Calibri" w:eastAsia="Calibri" w:cs="Calibri"/>
          <w:sz w:val="18"/>
          <w:szCs w:val="18"/>
        </w:rPr>
      </w:r>
      <w:r>
        <w:rPr>
          <w:rFonts w:ascii="Calibri" w:hAnsi="Calibri" w:eastAsia="Calibri" w:cs="Calibri"/>
          <w:sz w:val="18"/>
          <w:szCs w:val="18"/>
        </w:rPr>
      </w:r>
    </w:p>
    <w:p w14:paraId="00000002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San Jose, CA </w:t>
      </w:r>
      <w:r>
        <w:rPr>
          <w:rFonts w:ascii="Calibri" w:hAnsi="Calibri" w:eastAsia="Calibri" w:cs="Calibri"/>
          <w:b w:val="0"/>
          <w:bCs w:val="0"/>
          <w:color w:val="000000"/>
          <w:sz w:val="22"/>
          <w:szCs w:val="22"/>
          <w:rtl w:val="0"/>
        </w:rPr>
        <w:t xml:space="preserve">| 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669-251-6243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3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/>
      <w:hyperlink r:id="rId9" w:tooltip="mailto:cyrus.shahriari@gmail.com" w:history="1">
        <w:r>
          <w:rPr>
            <w:rFonts w:ascii="Calibri" w:hAnsi="Calibri" w:eastAsia="Calibri" w:cs="Calibri"/>
            <w:b w:val="0"/>
            <w:bCs w:val="0"/>
            <w:color w:val="000000"/>
            <w:sz w:val="22"/>
            <w:szCs w:val="22"/>
            <w:rtl w:val="0"/>
          </w:rPr>
          <w:t xml:space="preserve">cyrus.shahriari@gmail.com</w:t>
        </w:r>
      </w:hyperlink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b w:val="0"/>
          <w:bCs w:val="0"/>
          <w:color w:val="000000"/>
          <w:sz w:val="22"/>
          <w:szCs w:val="22"/>
          <w:rtl w:val="0"/>
        </w:rPr>
        <w:t xml:space="preserve">| </w:t>
      </w:r>
      <w:hyperlink r:id="rId10" w:tooltip="https://linkedin.com/in/cyrusshahriari" w:history="1">
        <w:r>
          <w:rPr>
            <w:rFonts w:ascii="Calibri" w:hAnsi="Calibri" w:eastAsia="Calibri" w:cs="Calibri"/>
            <w:b w:val="0"/>
            <w:bCs w:val="0"/>
            <w:color w:val="000000"/>
            <w:sz w:val="22"/>
            <w:szCs w:val="22"/>
            <w:rtl w:val="0"/>
          </w:rPr>
          <w:t xml:space="preserve">linkedin.com/in/cyrusshahriari</w:t>
        </w:r>
      </w:hyperlink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4">
      <w:pPr>
        <w:pBdr/>
        <w:spacing/>
        <w:ind w:right="0" w:firstLine="0" w:left="0"/>
        <w:rPr>
          <w:rFonts w:ascii="Calibri" w:hAnsi="Calibri" w:eastAsia="Calibri" w:cs="Calibri"/>
          <w:sz w:val="22"/>
          <w:szCs w:val="22"/>
        </w:rPr>
      </w:pP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38D3D7E9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210" w:before="0"/>
        <w:ind w:right="0" w:firstLine="0" w:left="0"/>
        <w:jc w:val="center"/>
        <w:rPr/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RESULTS-DRIVEN SERVICENOW BUSINESS ANALYST | PRODUCT ANALYST | ENTERPRISE SERVICE MANAGEMENT</w:t>
      </w:r>
      <w:r/>
    </w:p>
    <w:p w14:paraId="00000006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rtl w:val="0"/>
        </w:rPr>
        <w:t xml:space="preserve">Results-driven ServiceNow Business Analyst and Product Analyst with expertise delivering enterprise-scale service management transformation initiatives, ServiceNow implementations, workflow automation, and migration programs across technology, financial ser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vices, healthcare, and pharmaceutical organizations. Proven success leading requirements gathering, discovery workshops, process mapping, solution design, backlog management, user story development, UAT, and stakeholder engagement for employee-facing and en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terprise service delivery workflows. Experienced partnering with business and technical teams to implement ServiceNow-based solutions supporting ITSM, Integrated Risk Management (IRM), Workplace Services, Visitor Management, Employee Experience, and enterpr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ise operations. Strong background in ITIL best practices, ServiceNow administration, Agile delivery, integrations, governance, and operational process optimization.</w:t>
      </w: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7">
      <w:pPr>
        <w:pBdr/>
        <w:spacing/>
        <w:ind w:right="0" w:firstLine="0" w:left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8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rtl w:val="0"/>
        </w:rPr>
        <w:t xml:space="preserve">CORE COMPETENCIES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9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rtl w:val="0"/>
        </w:rPr>
        <w:t xml:space="preserve">Requirements Gathering | Discovery Workshops | Current State / Future State Analysis | Process Mapping | Product Requirements Documents (PRDs) | Epics | User Stories | Acceptance Criteria | Functional Specifications | Stakeholder Management | UAT | ServiceN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ow Employee Experience | Employee Service Delivery | Workplace Services | Service Catalog Design | Workflow Automation | ServiceNow Administration | Agile | Jira | Integration Requirements | Data Mapping | Service Delivery Operations</w:t>
      </w: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A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B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IT Service Management - 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ServiceNow 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(Incident, Request, Change, Integrated Risk Management, Workplace Services, Visitor Management), HP Service Manager, Matrix42, Jira, Change Advisory Board (CAB) Facilitation, Request for Change (RFC) Assessment, ITIL Change / Incident / Problem Management.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C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Business Analysis - AI &amp; Automation -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Requirements Gathering, User Story Authoring, Gap Analysis, Process Mapping, UAT/QA Agentic AI (ServiceNow), Claude Enterprise, Google Gemini, Microsoft Copilot, DeepSeek, ServiceNow, Bash, PowerShell, Linux (Ubuntu/Debian), Windows, iOS, Android.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D">
      <w:pPr>
        <w:pBdr/>
        <w:spacing/>
        <w:ind w:right="0" w:firstLine="0" w:left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b/>
          <w:bCs/>
          <w:smallCaps/>
        </w:rPr>
      </w:pPr>
      <w:r>
        <w:rPr>
          <w:rFonts w:ascii="Calibri" w:hAnsi="Calibri" w:eastAsia="Calibri" w:cs="Calibri"/>
          <w:b/>
          <w:bCs/>
          <w:smallCaps/>
          <w:rtl w:val="0"/>
        </w:rPr>
        <w:t xml:space="preserve">PROFESSIONAL EXPERIENCE</w:t>
      </w:r>
      <w:r>
        <w:rPr>
          <w:rFonts w:ascii="Calibri" w:hAnsi="Calibri" w:eastAsia="Calibri" w:cs="Calibri"/>
          <w:b/>
          <w:bCs/>
          <w:smallCaps/>
        </w:rPr>
      </w:r>
      <w:r>
        <w:rPr>
          <w:rFonts w:ascii="Calibri" w:hAnsi="Calibri" w:eastAsia="Calibri" w:cs="Calibri"/>
          <w:b/>
          <w:bCs/>
          <w:smallCaps/>
        </w:rPr>
      </w:r>
    </w:p>
    <w:p w14:paraId="0000000F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0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SERVICENOW,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Santa Clara,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January 2025 - May 2026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11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Cloud-based software platform that automates digital business workflows and powers enterprise operations.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2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  <w:lang w:val="en-US"/>
        </w:rPr>
        <w:t xml:space="preserve">Business Systems Analyst - 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Product Manager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3">
      <w:pPr>
        <w:pStyle w:val="872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i/>
          <w:iCs/>
          <w:sz w:val="22"/>
          <w:szCs w:val="22"/>
          <w:rtl w:val="0"/>
        </w:rPr>
        <w:t xml:space="preserve">Integrated Risk Management (IRM) Portfolio: Audit Management, Regulatory Change Management, Policy &amp; Compliance, Risk Management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3C7B49F">
      <w:pPr>
        <w:pStyle w:val="872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:highlight w:val="none"/>
        </w:rPr>
      </w:pP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  <w:t xml:space="preserve">Led business requirements gathering and solution design activities for Integrated Risk Management (IRM) initiatives, partnering with compliance, audit, risk, engineering, and operations stakeholders.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  <w:highlight w:val="none"/>
        </w:rPr>
      </w:r>
    </w:p>
    <w:p w14:paraId="29DE372D">
      <w:pPr>
        <w:pStyle w:val="872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:highlight w:val="none"/>
        </w:rPr>
      </w:pP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  <w:t xml:space="preserve">Managed third-party regulatory content integrations, defining business requirements, data mappings, validation rules, and troubleshooting API data transfer issues between vendor platforms and ServiceNow.</w:t>
      </w: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szCs w:val="22"/>
          <w:highlight w:val="none"/>
        </w:rPr>
      </w:r>
    </w:p>
    <w:p w14:paraId="40972E89">
      <w:pPr>
        <w:pStyle w:val="872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:highlight w:val="none"/>
        </w:rPr>
      </w:pP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  <w:t xml:space="preserve">Supported implementation of ServiceNow IRM integration with Microsoft SharePoint and Office 365, coordinating requirements, permissions, role-based access controls, document management workflows, and stakeholder adoption activities.</w:t>
      </w: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szCs w:val="22"/>
          <w:highlight w:val="none"/>
        </w:rPr>
      </w:r>
    </w:p>
    <w:p w14:paraId="01AAABE2">
      <w:pPr>
        <w:pStyle w:val="872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:highlight w:val="none"/>
        </w:rPr>
      </w:pPr>
      <w:r>
        <w:rPr>
          <w:rFonts w:ascii="Calibri" w:hAnsi="Calibri" w:eastAsia="Calibri" w:cs="Calibri"/>
          <w:sz w:val="22"/>
          <w:szCs w:val="22"/>
          <w:highlight w:val="none"/>
          <w:rtl w:val="0"/>
        </w:rPr>
        <w:t xml:space="preserve">Collaborated with infrastructure, platform engineering, and business teams to establish governance controls, document repositories, user access models, and data segregation requirements.</w:t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  <w:highlight w:val="none"/>
        </w:rPr>
      </w:r>
    </w:p>
    <w:p w14:paraId="593B62E6">
      <w:pPr>
        <w:pStyle w:val="872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  <w:t xml:space="preserve">Partnered with engineering teams to investigate and resolve integration issues including authentication failures, credential updates, API processing errors, plugin upgrades, and data synchronization discrepancies.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356DD0D3">
      <w:pPr>
        <w:pStyle w:val="872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highlight w:val="none"/>
          <w:rtl w:val="0"/>
        </w:rPr>
        <w:t xml:space="preserve">Facilitated requirements workshops, backlog refinement sessions, user acceptance testing, and production readiness reviews for enterprise platform enhancements.</w:t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4">
      <w:pPr>
        <w:pStyle w:val="872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  <w:lang w:val="en-US"/>
        </w:rPr>
        <w:t xml:space="preserve">Handled 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Agentic AI deployment for the IRM platform as 'Customer Zero,' driving a 30% improvement in operational efficiency across a multi-million dollar product portfolio.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5">
      <w:pPr>
        <w:pStyle w:val="872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Lead end-to-end incident management for IRM, performing root cause analysis and serving as primary stakeholder communication lead for all platform incidents and resolutions.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6">
      <w:pPr>
        <w:pStyle w:val="872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Define and prioritize product backlog items, author user stories, and drive sprint ceremonies in close partnership with Level 2/3 engineering teams for continuous IRM platform improvements.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7">
      <w:pPr>
        <w:pStyle w:val="872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Integrate Zoom Agentic AI into the ServiceNow platform to optimize scheduling, record management, and cross-functional engagement workflows.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8">
      <w:pPr>
        <w:pStyle w:val="872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Deliver compliance oversight for Audit, Regulatory Change, and Policy Management products, ensuring alignment with internal controls and regulatory frameworks.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9">
      <w:pPr>
        <w:pStyle w:val="872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Champion workflow enhancements across approval flows and notification systems, increasing change compliance and audit readiness for internal business stakeholders.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A">
      <w:pPr>
        <w:pStyle w:val="872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Resolve complex platform incidents (e.g., eSignature plugin failure) through cross-functional collaboration and hands-on technical analysis, restoring functionality and improving user experience.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E4591E3">
      <w:pPr>
        <w:pStyle w:val="872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  <w:lang w:val="en-US"/>
        </w:rPr>
        <w:t xml:space="preserve">Faciliated 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ITSM operations supporting Incident, Change, Knowledge, and Governance processes for enterprise stakeholders.</w:t>
      </w:r>
      <w:r/>
    </w:p>
    <w:p w14:paraId="1E1AEFDA">
      <w:pPr>
        <w:pStyle w:val="872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Partnered with platform engineering teams to drive ServiceNow process improvements, workflow automation, and service delivery optimization.</w:t>
      </w:r>
      <w:r/>
    </w:p>
    <w:p w14:paraId="73BEEC71">
      <w:pPr>
        <w:pStyle w:val="872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Managed stakeholder communications and operational governance for enterprise service management initiatives.</w:t>
      </w: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621FC5BC">
      <w:pPr>
        <w:pStyle w:val="872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• Co-authored product requirements, epics, user stories, acceptance criteria, and functional requirements for enterprise ServiceNow platform enhancements supporting compliance, audit, and operational stakeholders.</w:t>
      </w:r>
      <w:r/>
    </w:p>
    <w:p w14:paraId="01161793">
      <w:pPr>
        <w:pStyle w:val="872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</w:r>
      <w:r/>
    </w:p>
    <w:p w14:paraId="60990907">
      <w:pPr>
        <w:pStyle w:val="872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• Facilitated discovery workshops, current-state and future-state process reviews, backlog refinement sessions, and user acceptance testing activities across cross-functional business organizations.</w:t>
      </w:r>
      <w:r/>
    </w:p>
    <w:p w14:paraId="4446774B">
      <w:pPr>
        <w:pStyle w:val="872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</w:r>
      <w:r/>
    </w:p>
    <w:p w14:paraId="49939DDA">
      <w:pPr>
        <w:pStyle w:val="872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• Defined integration requirements including data mappings, business rules, validation logic, error handling, user access requirements, and operational support models for third-party platform integrations.</w:t>
      </w:r>
      <w:r/>
    </w:p>
    <w:p w14:paraId="21E84EAC">
      <w:pPr>
        <w:pStyle w:val="872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</w:r>
      <w:r/>
    </w:p>
    <w:p w14:paraId="5B50AF16">
      <w:pPr>
        <w:pStyle w:val="872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• Partnered with business stakeholders and engineering teams to optimize employee-facing workflows, notifications, approval processes, knowledge management, and service delivery operations.</w:t>
      </w:r>
      <w:r/>
      <w:r>
        <w:rPr>
          <w:rFonts w:ascii="Calibri" w:hAnsi="Calibri" w:eastAsia="Calibri" w:cs="Calibri"/>
          <w:sz w:val="22"/>
          <w:szCs w:val="22"/>
          <w:rtl w:val="0"/>
        </w:rPr>
        <w:br/>
      </w:r>
      <w:r>
        <w:rPr>
          <w:rFonts w:ascii="Calibri" w:hAnsi="Calibri" w:eastAsia="Calibri" w:cs="Calibri"/>
          <w:sz w:val="22"/>
          <w:szCs w:val="22"/>
        </w:rPr>
      </w:r>
      <w:r/>
    </w:p>
    <w:p w14:paraId="0000001B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C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CYPRESS HCM AT SERVICENOW,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Santa Clara,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May 2023 - January 2025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1D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Cloud-based software platform that automates digital business workflows and powers enterprise operations.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E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Business Systems Analyst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F">
      <w:pPr>
        <w:pStyle w:val="872"/>
        <w:numPr>
          <w:ilvl w:val="0"/>
          <w:numId w:val="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Owned the Visitor Management application across 20+ global locations, including mobile version upgrades, hardware integration, and multi-region deployment coordination.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0">
      <w:pPr>
        <w:pStyle w:val="872"/>
        <w:numPr>
          <w:ilvl w:val="0"/>
          <w:numId w:val="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14:ligatures w14:val="none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Managed the inaugural deployment of the Occupational Health &amp; Safety application module, establishing baseline processes and governance standards.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  <w14:ligatures w14:val="none"/>
        </w:rPr>
      </w:r>
    </w:p>
    <w:p w14:paraId="00000021">
      <w:pPr>
        <w:pStyle w:val="872"/>
        <w:numPr>
          <w:ilvl w:val="0"/>
          <w:numId w:val="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14:ligatures w14:val="none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Reduced open incidents and service requests by 40% within a three-month period through systematic backlog prioritization and proactive stakeholder engagement.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  <w14:ligatures w14:val="none"/>
        </w:rPr>
      </w:r>
    </w:p>
    <w:p w14:paraId="00000022">
      <w:pPr>
        <w:pStyle w:val="872"/>
        <w:numPr>
          <w:ilvl w:val="0"/>
          <w:numId w:val="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14:ligatures w14:val="none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Developed an internal operational dashboard providing real-time visibility into application health and escalation metrics for leadership.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  <w14:ligatures w14:val="none"/>
        </w:rPr>
      </w:r>
    </w:p>
    <w:p w14:paraId="14455E8B">
      <w:pPr>
        <w:pStyle w:val="872"/>
        <w:numPr>
          <w:ilvl w:val="0"/>
          <w:numId w:val="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14:ligatures w14:val="none"/>
        </w:rPr>
      </w:pP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</w:rPr>
        <w:t xml:space="preserve">Coordinated cross-functional project activities with global development and QA teams, managed delivery timelines, facilitated stakeholder communications, and supported organizational change management through training and knowledge transfer.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  <w14:ligatures w14:val="none"/>
        </w:rPr>
      </w:r>
    </w:p>
    <w:p w14:paraId="2FDCFC46">
      <w:pPr>
        <w:pStyle w:val="872"/>
        <w:numPr>
          <w:ilvl w:val="0"/>
          <w:numId w:val="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14:ligatures w14:val="none"/>
        </w:r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  <w:rtl w:val="0"/>
        </w:rPr>
        <w:t xml:space="preserve">Managed enterprise service management processes supporting Workplace Services operations across 20+ global locations.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  <w14:ligatures w14:val="none"/>
        </w:rPr>
      </w:r>
    </w:p>
    <w:p w14:paraId="62BC8C2B">
      <w:pPr>
        <w:pStyle w:val="872"/>
        <w:numPr>
          <w:ilvl w:val="0"/>
          <w:numId w:val="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Partnered with ServiceNow platform teams to improve incident resolution, request fulfillment, knowledge management, and operat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ional reporting.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4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5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FIRST REPUBLIC BANK,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 Francisco,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May 2020 - May 2023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26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Commercial bank and wealth management firm catering to high-net-worth individuals.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7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Sr. IT Infrastructure Change Analyst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8">
      <w:pPr>
        <w:pStyle w:val="872"/>
        <w:numPr>
          <w:ilvl w:val="0"/>
          <w:numId w:val="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14:ligatures w14:val="none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Assessed 1,200+ monthly change records, applying ITIL change management principles to reduce emergency/expedited changes by 50%, significantly lowering organizational risk.</w:t>
      </w:r>
      <w:r>
        <w:rPr>
          <w:rFonts w:ascii="Calibri" w:hAnsi="Calibri" w:eastAsia="Calibri" w:cs="Calibri"/>
          <w:sz w:val="22"/>
          <w:szCs w:val="22"/>
          <w14:ligatures w14:val="none"/>
        </w:rPr>
      </w:r>
      <w:r>
        <w:rPr>
          <w:rFonts w:ascii="Calibri" w:hAnsi="Calibri" w:eastAsia="Calibri" w:cs="Calibri"/>
          <w:sz w:val="22"/>
          <w:szCs w:val="22"/>
          <w14:ligatures w14:val="none"/>
        </w:rPr>
      </w:r>
    </w:p>
    <w:p w14:paraId="00000029">
      <w:pPr>
        <w:pStyle w:val="872"/>
        <w:numPr>
          <w:ilvl w:val="0"/>
          <w:numId w:val="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14:ligatures w14:val="none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Increased standard (pre-approved) changes by 15% through automation initiatives and targeted training programs for change submitters.</w:t>
      </w:r>
      <w:r>
        <w:rPr>
          <w:rFonts w:ascii="Calibri" w:hAnsi="Calibri" w:eastAsia="Calibri" w:cs="Calibri"/>
          <w:sz w:val="22"/>
          <w:szCs w:val="22"/>
          <w14:ligatures w14:val="none"/>
        </w:rPr>
      </w:r>
      <w:r>
        <w:rPr>
          <w:rFonts w:ascii="Calibri" w:hAnsi="Calibri" w:eastAsia="Calibri" w:cs="Calibri"/>
          <w:sz w:val="22"/>
          <w:szCs w:val="22"/>
          <w14:ligatures w14:val="none"/>
        </w:rPr>
      </w:r>
    </w:p>
    <w:p w14:paraId="0000002A">
      <w:pPr>
        <w:pStyle w:val="872"/>
        <w:numPr>
          <w:ilvl w:val="0"/>
          <w:numId w:val="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14:ligatures w14:val="none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Chaired bi-weekly Change Advisory Board (CAB) meetings, facilitating cross-functional risk discussions and approvals across infrastructure, applications, and security teams.</w:t>
      </w:r>
      <w:r>
        <w:rPr>
          <w:rFonts w:ascii="Calibri" w:hAnsi="Calibri" w:eastAsia="Calibri" w:cs="Calibri"/>
          <w:sz w:val="22"/>
          <w:szCs w:val="22"/>
          <w14:ligatures w14:val="none"/>
        </w:rPr>
      </w:r>
      <w:r>
        <w:rPr>
          <w:rFonts w:ascii="Calibri" w:hAnsi="Calibri" w:eastAsia="Calibri" w:cs="Calibri"/>
          <w:sz w:val="22"/>
          <w:szCs w:val="22"/>
          <w14:ligatures w14:val="none"/>
        </w:rPr>
      </w:r>
    </w:p>
    <w:p w14:paraId="0000002B">
      <w:pPr>
        <w:pStyle w:val="872"/>
        <w:numPr>
          <w:ilvl w:val="0"/>
          <w:numId w:val="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14:ligatures w14:val="none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Investigated failed changes and post-implementation incidents, delivering root cause analysis reports and remediation training to reduce repeat failures.</w:t>
      </w:r>
      <w:r>
        <w:rPr>
          <w:rFonts w:ascii="Calibri" w:hAnsi="Calibri" w:eastAsia="Calibri" w:cs="Calibri"/>
          <w:sz w:val="22"/>
          <w:szCs w:val="22"/>
          <w14:ligatures w14:val="none"/>
        </w:rPr>
      </w:r>
      <w:r>
        <w:rPr>
          <w:rFonts w:ascii="Calibri" w:hAnsi="Calibri" w:eastAsia="Calibri" w:cs="Calibri"/>
          <w:sz w:val="22"/>
          <w:szCs w:val="22"/>
          <w14:ligatures w14:val="none"/>
        </w:rPr>
      </w:r>
    </w:p>
    <w:p w14:paraId="0000002C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D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LUMENTUM,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 Jose,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January 2020 - July 2020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2F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ITIL Process Manager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8">
      <w:pPr>
        <w:pBdr/>
        <w:spacing/>
        <w:ind w:right="0" w:firstLine="0" w:left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9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b/>
          <w:bCs/>
          <w:smallCaps/>
        </w:rPr>
      </w:pPr>
      <w:r>
        <w:rPr>
          <w:rFonts w:ascii="Calibri" w:hAnsi="Calibri" w:eastAsia="Calibri" w:cs="Calibri"/>
          <w:b/>
          <w:bCs/>
          <w:smallCaps/>
          <w:rtl w:val="0"/>
        </w:rPr>
        <w:t xml:space="preserve">EDUCATION</w:t>
      </w:r>
      <w:r>
        <w:rPr>
          <w:rFonts w:ascii="Calibri" w:hAnsi="Calibri" w:eastAsia="Calibri" w:cs="Calibri"/>
          <w:b/>
          <w:bCs/>
          <w:smallCaps/>
        </w:rPr>
      </w:r>
      <w:r>
        <w:rPr>
          <w:rFonts w:ascii="Calibri" w:hAnsi="Calibri" w:eastAsia="Calibri" w:cs="Calibri"/>
          <w:b/>
          <w:bCs/>
          <w:smallCaps/>
        </w:rPr>
      </w:r>
    </w:p>
    <w:p w14:paraId="0000004A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Management, Information Systems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, 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Menlo College, Atherton, CA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B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ITIL v3 Certified - APM Group Foundation | Microsoft Certified Technology Specialist (MCTS)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C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FEMA CERT Train-the-Trainer / Program Manager | Bilingual: English (Native) | German (Fluent)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sectPr>
      <w:footnotePr/>
      <w:endnotePr/>
      <w:type w:val="nextPage"/>
      <w:pgSz w:h="15810" w:orient="portrait" w:w="12225"/>
      <w:pgMar w:top="431" w:right="431" w:bottom="431" w:left="431" w:header="708" w:footer="708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Noto Sans Symbols">
    <w:panose1 w:val="05040102010807070707"/>
  </w:font>
  <w:font w:name="Georgia">
    <w:panose1 w:val="02040502050405020303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6">
    <w:nsid w:val="07D33FB8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5129F69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7F04316D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0814A978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n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Table Grid"/>
    <w:basedOn w:val="7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Table Grid Light"/>
    <w:basedOn w:val="7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1"/>
    <w:basedOn w:val="7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2"/>
    <w:basedOn w:val="7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1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2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3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4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5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6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1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2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3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4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5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6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1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2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3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4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5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6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4">
    <w:name w:val="Heading 7"/>
    <w:basedOn w:val="909"/>
    <w:next w:val="909"/>
    <w:link w:val="86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5">
    <w:name w:val="Heading 8"/>
    <w:basedOn w:val="909"/>
    <w:next w:val="909"/>
    <w:link w:val="86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6">
    <w:name w:val="Heading 9"/>
    <w:basedOn w:val="909"/>
    <w:next w:val="909"/>
    <w:link w:val="86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7" w:default="1">
    <w:name w:val="Default Paragraph Font"/>
    <w:uiPriority w:val="1"/>
    <w:semiHidden/>
    <w:unhideWhenUsed/>
    <w:pPr>
      <w:pBdr/>
      <w:spacing/>
      <w:ind/>
    </w:pPr>
  </w:style>
  <w:style w:type="numbering" w:styleId="858" w:default="1">
    <w:name w:val="No List"/>
    <w:uiPriority w:val="99"/>
    <w:semiHidden/>
    <w:unhideWhenUsed/>
    <w:pPr>
      <w:pBdr/>
      <w:spacing/>
      <w:ind/>
    </w:pPr>
  </w:style>
  <w:style w:type="character" w:styleId="859">
    <w:name w:val="Heading 1 Char"/>
    <w:basedOn w:val="857"/>
    <w:link w:val="9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0">
    <w:name w:val="Heading 2 Char"/>
    <w:basedOn w:val="857"/>
    <w:link w:val="9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1">
    <w:name w:val="Heading 3 Char"/>
    <w:basedOn w:val="857"/>
    <w:link w:val="9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2">
    <w:name w:val="Heading 4 Char"/>
    <w:basedOn w:val="857"/>
    <w:link w:val="91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3">
    <w:name w:val="Heading 5 Char"/>
    <w:basedOn w:val="857"/>
    <w:link w:val="9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4">
    <w:name w:val="Heading 6 Char"/>
    <w:basedOn w:val="857"/>
    <w:link w:val="91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5">
    <w:name w:val="Heading 7 Char"/>
    <w:basedOn w:val="857"/>
    <w:link w:val="85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6">
    <w:name w:val="Heading 8 Char"/>
    <w:basedOn w:val="857"/>
    <w:link w:val="8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7">
    <w:name w:val="Heading 9 Char"/>
    <w:basedOn w:val="857"/>
    <w:link w:val="85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8">
    <w:name w:val="Title Char"/>
    <w:basedOn w:val="857"/>
    <w:link w:val="9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69">
    <w:name w:val="Subtitle Char"/>
    <w:basedOn w:val="857"/>
    <w:link w:val="91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0">
    <w:name w:val="Quote"/>
    <w:basedOn w:val="909"/>
    <w:next w:val="909"/>
    <w:link w:val="87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1">
    <w:name w:val="Quote Char"/>
    <w:basedOn w:val="857"/>
    <w:link w:val="87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2">
    <w:name w:val="List Paragraph"/>
    <w:basedOn w:val="909"/>
    <w:uiPriority w:val="34"/>
    <w:qFormat/>
    <w:pPr>
      <w:pBdr/>
      <w:spacing/>
      <w:ind w:left="720"/>
      <w:contextualSpacing w:val="true"/>
    </w:pPr>
  </w:style>
  <w:style w:type="character" w:styleId="873">
    <w:name w:val="Intense Emphasis"/>
    <w:basedOn w:val="85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4">
    <w:name w:val="Intense Quote"/>
    <w:basedOn w:val="909"/>
    <w:next w:val="909"/>
    <w:link w:val="87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5">
    <w:name w:val="Intense Quote Char"/>
    <w:basedOn w:val="857"/>
    <w:link w:val="87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6">
    <w:name w:val="Intense Reference"/>
    <w:basedOn w:val="85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7">
    <w:name w:val="No Spacing"/>
    <w:basedOn w:val="909"/>
    <w:uiPriority w:val="1"/>
    <w:qFormat/>
    <w:pPr>
      <w:pBdr/>
      <w:spacing w:after="0" w:line="240" w:lineRule="auto"/>
      <w:ind/>
    </w:pPr>
  </w:style>
  <w:style w:type="character" w:styleId="878">
    <w:name w:val="Subtle Emphasis"/>
    <w:basedOn w:val="85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9">
    <w:name w:val="Emphasis"/>
    <w:basedOn w:val="857"/>
    <w:uiPriority w:val="20"/>
    <w:qFormat/>
    <w:pPr>
      <w:pBdr/>
      <w:spacing/>
      <w:ind/>
    </w:pPr>
    <w:rPr>
      <w:i/>
      <w:iCs/>
    </w:rPr>
  </w:style>
  <w:style w:type="character" w:styleId="880">
    <w:name w:val="Strong"/>
    <w:basedOn w:val="857"/>
    <w:uiPriority w:val="22"/>
    <w:qFormat/>
    <w:pPr>
      <w:pBdr/>
      <w:spacing/>
      <w:ind/>
    </w:pPr>
    <w:rPr>
      <w:b/>
      <w:bCs/>
    </w:rPr>
  </w:style>
  <w:style w:type="character" w:styleId="881">
    <w:name w:val="Subtle Reference"/>
    <w:basedOn w:val="85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2">
    <w:name w:val="Book Title"/>
    <w:basedOn w:val="85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3">
    <w:name w:val="Header"/>
    <w:basedOn w:val="909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Header Char"/>
    <w:basedOn w:val="857"/>
    <w:link w:val="883"/>
    <w:uiPriority w:val="99"/>
    <w:pPr>
      <w:pBdr/>
      <w:spacing/>
      <w:ind/>
    </w:pPr>
  </w:style>
  <w:style w:type="paragraph" w:styleId="885">
    <w:name w:val="Footer"/>
    <w:basedOn w:val="909"/>
    <w:link w:val="88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6">
    <w:name w:val="Footer Char"/>
    <w:basedOn w:val="857"/>
    <w:link w:val="885"/>
    <w:uiPriority w:val="99"/>
    <w:pPr>
      <w:pBdr/>
      <w:spacing/>
      <w:ind/>
    </w:pPr>
  </w:style>
  <w:style w:type="paragraph" w:styleId="887">
    <w:name w:val="Caption"/>
    <w:basedOn w:val="909"/>
    <w:next w:val="90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8">
    <w:name w:val="footnote text"/>
    <w:basedOn w:val="909"/>
    <w:link w:val="8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9">
    <w:name w:val="Footnote Text Char"/>
    <w:basedOn w:val="857"/>
    <w:link w:val="888"/>
    <w:uiPriority w:val="99"/>
    <w:semiHidden/>
    <w:pPr>
      <w:pBdr/>
      <w:spacing/>
      <w:ind/>
    </w:pPr>
    <w:rPr>
      <w:sz w:val="20"/>
      <w:szCs w:val="20"/>
    </w:rPr>
  </w:style>
  <w:style w:type="character" w:styleId="890">
    <w:name w:val="footnote reference"/>
    <w:basedOn w:val="857"/>
    <w:uiPriority w:val="99"/>
    <w:semiHidden/>
    <w:unhideWhenUsed/>
    <w:pPr>
      <w:pBdr/>
      <w:spacing/>
      <w:ind/>
    </w:pPr>
    <w:rPr>
      <w:vertAlign w:val="superscript"/>
    </w:rPr>
  </w:style>
  <w:style w:type="paragraph" w:styleId="891">
    <w:name w:val="endnote text"/>
    <w:basedOn w:val="909"/>
    <w:link w:val="89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2">
    <w:name w:val="Endnote Text Char"/>
    <w:basedOn w:val="857"/>
    <w:link w:val="891"/>
    <w:uiPriority w:val="99"/>
    <w:semiHidden/>
    <w:pPr>
      <w:pBdr/>
      <w:spacing/>
      <w:ind/>
    </w:pPr>
    <w:rPr>
      <w:sz w:val="20"/>
      <w:szCs w:val="20"/>
    </w:rPr>
  </w:style>
  <w:style w:type="character" w:styleId="893">
    <w:name w:val="endnote reference"/>
    <w:basedOn w:val="857"/>
    <w:uiPriority w:val="99"/>
    <w:semiHidden/>
    <w:unhideWhenUsed/>
    <w:pPr>
      <w:pBdr/>
      <w:spacing/>
      <w:ind/>
    </w:pPr>
    <w:rPr>
      <w:vertAlign w:val="superscript"/>
    </w:rPr>
  </w:style>
  <w:style w:type="character" w:styleId="894">
    <w:name w:val="Hyperlink"/>
    <w:basedOn w:val="85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5">
    <w:name w:val="FollowedHyperlink"/>
    <w:basedOn w:val="85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6">
    <w:name w:val="toc 1"/>
    <w:basedOn w:val="909"/>
    <w:next w:val="909"/>
    <w:uiPriority w:val="39"/>
    <w:unhideWhenUsed/>
    <w:pPr>
      <w:pBdr/>
      <w:spacing w:after="100"/>
      <w:ind/>
    </w:pPr>
  </w:style>
  <w:style w:type="paragraph" w:styleId="897">
    <w:name w:val="toc 2"/>
    <w:basedOn w:val="909"/>
    <w:next w:val="909"/>
    <w:uiPriority w:val="39"/>
    <w:unhideWhenUsed/>
    <w:pPr>
      <w:pBdr/>
      <w:spacing w:after="100"/>
      <w:ind w:left="220"/>
    </w:pPr>
  </w:style>
  <w:style w:type="paragraph" w:styleId="898">
    <w:name w:val="toc 3"/>
    <w:basedOn w:val="909"/>
    <w:next w:val="909"/>
    <w:uiPriority w:val="39"/>
    <w:unhideWhenUsed/>
    <w:pPr>
      <w:pBdr/>
      <w:spacing w:after="100"/>
      <w:ind w:left="440"/>
    </w:pPr>
  </w:style>
  <w:style w:type="paragraph" w:styleId="899">
    <w:name w:val="toc 4"/>
    <w:basedOn w:val="909"/>
    <w:next w:val="909"/>
    <w:uiPriority w:val="39"/>
    <w:unhideWhenUsed/>
    <w:pPr>
      <w:pBdr/>
      <w:spacing w:after="100"/>
      <w:ind w:left="660"/>
    </w:pPr>
  </w:style>
  <w:style w:type="paragraph" w:styleId="900">
    <w:name w:val="toc 5"/>
    <w:basedOn w:val="909"/>
    <w:next w:val="909"/>
    <w:uiPriority w:val="39"/>
    <w:unhideWhenUsed/>
    <w:pPr>
      <w:pBdr/>
      <w:spacing w:after="100"/>
      <w:ind w:left="880"/>
    </w:pPr>
  </w:style>
  <w:style w:type="paragraph" w:styleId="901">
    <w:name w:val="toc 6"/>
    <w:basedOn w:val="909"/>
    <w:next w:val="909"/>
    <w:uiPriority w:val="39"/>
    <w:unhideWhenUsed/>
    <w:pPr>
      <w:pBdr/>
      <w:spacing w:after="100"/>
      <w:ind w:left="1100"/>
    </w:pPr>
  </w:style>
  <w:style w:type="paragraph" w:styleId="902">
    <w:name w:val="toc 7"/>
    <w:basedOn w:val="909"/>
    <w:next w:val="909"/>
    <w:uiPriority w:val="39"/>
    <w:unhideWhenUsed/>
    <w:pPr>
      <w:pBdr/>
      <w:spacing w:after="100"/>
      <w:ind w:left="1320"/>
    </w:pPr>
  </w:style>
  <w:style w:type="paragraph" w:styleId="903">
    <w:name w:val="toc 8"/>
    <w:basedOn w:val="909"/>
    <w:next w:val="909"/>
    <w:uiPriority w:val="39"/>
    <w:unhideWhenUsed/>
    <w:pPr>
      <w:pBdr/>
      <w:spacing w:after="100"/>
      <w:ind w:left="1540"/>
    </w:pPr>
  </w:style>
  <w:style w:type="paragraph" w:styleId="904">
    <w:name w:val="toc 9"/>
    <w:basedOn w:val="909"/>
    <w:next w:val="909"/>
    <w:uiPriority w:val="39"/>
    <w:unhideWhenUsed/>
    <w:pPr>
      <w:pBdr/>
      <w:spacing w:after="100"/>
      <w:ind w:left="1760"/>
    </w:pPr>
  </w:style>
  <w:style w:type="character" w:styleId="905">
    <w:name w:val="Placeholder Text"/>
    <w:basedOn w:val="857"/>
    <w:uiPriority w:val="99"/>
    <w:semiHidden/>
    <w:pPr>
      <w:pBdr/>
      <w:spacing/>
      <w:ind/>
    </w:pPr>
    <w:rPr>
      <w:color w:val="666666"/>
    </w:rPr>
  </w:style>
  <w:style w:type="paragraph" w:styleId="906">
    <w:name w:val="TOC Heading"/>
    <w:uiPriority w:val="39"/>
    <w:unhideWhenUsed/>
    <w:pPr>
      <w:pBdr/>
      <w:spacing/>
      <w:ind/>
    </w:pPr>
  </w:style>
  <w:style w:type="paragraph" w:styleId="907">
    <w:name w:val="table of figures"/>
    <w:basedOn w:val="909"/>
    <w:next w:val="909"/>
    <w:uiPriority w:val="99"/>
    <w:unhideWhenUsed/>
    <w:pPr>
      <w:pBdr/>
      <w:spacing w:after="0" w:afterAutospacing="0"/>
      <w:ind/>
    </w:pPr>
  </w:style>
  <w:style w:type="table" w:styleId="908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9" w:default="1">
    <w:name w:val="Normal"/>
    <w:pPr>
      <w:pBdr/>
      <w:spacing/>
      <w:ind/>
    </w:pPr>
  </w:style>
  <w:style w:type="paragraph" w:styleId="910">
    <w:name w:val="Heading 1"/>
    <w:basedOn w:val="909"/>
    <w:next w:val="909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48"/>
      <w:szCs w:val="48"/>
    </w:rPr>
  </w:style>
  <w:style w:type="paragraph" w:styleId="911">
    <w:name w:val="Heading 2"/>
    <w:basedOn w:val="909"/>
    <w:next w:val="909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36"/>
      <w:szCs w:val="36"/>
    </w:rPr>
  </w:style>
  <w:style w:type="paragraph" w:styleId="912">
    <w:name w:val="Heading 3"/>
    <w:basedOn w:val="909"/>
    <w:next w:val="909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28"/>
      <w:szCs w:val="28"/>
    </w:rPr>
  </w:style>
  <w:style w:type="paragraph" w:styleId="913">
    <w:name w:val="Heading 4"/>
    <w:basedOn w:val="909"/>
    <w:next w:val="909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24"/>
      <w:szCs w:val="24"/>
    </w:rPr>
  </w:style>
  <w:style w:type="paragraph" w:styleId="914">
    <w:name w:val="Heading 5"/>
    <w:basedOn w:val="909"/>
    <w:next w:val="909"/>
    <w:pPr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20"/>
      <w:szCs w:val="20"/>
    </w:rPr>
  </w:style>
  <w:style w:type="paragraph" w:styleId="915">
    <w:name w:val="Heading 6"/>
    <w:basedOn w:val="909"/>
    <w:next w:val="909"/>
    <w:pPr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16"/>
      <w:szCs w:val="16"/>
    </w:rPr>
  </w:style>
  <w:style w:type="paragraph" w:styleId="916">
    <w:name w:val="Title"/>
    <w:basedOn w:val="909"/>
    <w:next w:val="909"/>
    <w:pPr>
      <w:keepNext w:val="true"/>
      <w:keepLines w:val="true"/>
      <w:pageBreakBefore w:val="false"/>
      <w:pBdr/>
      <w:spacing w:after="120" w:before="480"/>
      <w:ind/>
    </w:pPr>
    <w:rPr>
      <w:b/>
      <w:bCs/>
      <w:sz w:val="72"/>
      <w:szCs w:val="72"/>
    </w:rPr>
  </w:style>
  <w:style w:type="paragraph" w:styleId="917">
    <w:name w:val="Subtitle"/>
    <w:basedOn w:val="909"/>
    <w:next w:val="909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cyrus.shahriari@gmail.com" TargetMode="External"/><Relationship Id="rId10" Type="http://schemas.openxmlformats.org/officeDocument/2006/relationships/hyperlink" Target="https://linkedin.com/in/cyrusshahriari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2026-06-23T18:40:27Z</dcterms:modified>
</cp:coreProperties>
</file>