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b/>
          <w:bCs/>
          <w:smallCaps/>
          <w:sz w:val="32"/>
          <w:szCs w:val="32"/>
          <w:rtl w:val="0"/>
        </w:rPr>
        <w:t xml:space="preserve">CYRUS SHAHRIARI</w:t>
      </w:r>
      <w:r>
        <w:rPr>
          <w:rtl w:val="0"/>
        </w:rPr>
      </w:r>
      <w:r>
        <w:rPr>
          <w:rFonts w:ascii="Calibri" w:hAnsi="Calibri" w:eastAsia="Calibri" w:cs="Calibri"/>
          <w:sz w:val="18"/>
          <w:szCs w:val="18"/>
        </w:rPr>
      </w:r>
    </w:p>
    <w:p w14:paraId="00000002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San Jose, CA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669-251-6243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3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/>
      <w:hyperlink r:id="rId9" w:tooltip="mailto:cyrus.shahriari@gmail.com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cyrus.shahriari@gmail.com</w:t>
        </w:r>
      </w:hyperlink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hyperlink r:id="rId10" w:tooltip="https://linkedin.com/in/cyrusshahriari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linkedin.com/in/cyrusshahriari</w:t>
        </w:r>
      </w:hyperlink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4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5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21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BUSINESS ANALYST * IT CHANGE MANAGEMENT * IT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  <w:lang w:val="en-US"/>
        </w:rPr>
        <w:t xml:space="preserve"> SERVICE MANAGEMENT</w:t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</w:p>
    <w:p w14:paraId="00000006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Results-driven IT professional with 20+ years of experience delivering enterprise-scale Business Analysis,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IT Change Management, and ITSM solutions across highly regulated industries including technology, financial services, healthcare, and education. Deep expertise in ITIL frameworks, ServiceNow platform administration, regulatory compliance, and Agile/product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lifecycle management. Proven track record of reducing incident volumes, accelerating change velocity, and aligning IT operations with strategic business objectives. Fluent in English and German; experienced in cross-functional, globally distributed teams.</w:t>
      </w:r>
      <w:r>
        <w:rPr>
          <w:rFonts w:ascii="Calibri" w:hAnsi="Calibri" w:eastAsia="Calibri" w:cs="Calibri"/>
          <w:sz w:val="22"/>
          <w:szCs w:val="22"/>
        </w:rPr>
      </w:r>
    </w:p>
    <w:p w14:paraId="00000007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08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CORE COMPETENCIES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IT Ser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vice Management | IT Change Management | Business Analysis | ITIL Process Design | Governance | ServiceNow Platform | Regulatory &amp; Compliance | Incident &amp; Root Cause Analysis | Management | Agile / Scrum Methodologies | AI &amp; Agentic Workflow | Integration </w:t>
      </w:r>
      <w:r>
        <w:rPr>
          <w:rFonts w:ascii="Calibri" w:hAnsi="Calibri" w:eastAsia="Calibri" w:cs="Calibri"/>
          <w:sz w:val="22"/>
          <w:szCs w:val="22"/>
        </w:rPr>
      </w:r>
    </w:p>
    <w:p w14:paraId="0000000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 Service Management -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ServiceNow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(Incident, Request, Change, Integrated Risk Management, Workplace Services, Visitor Management), HP Service Manager, Matrix42, Jira, Change Advisory Board (CAB) Facilitation, Request for Change (RFC) Assessment, ITIL Change / Incident / Problem Management.</w:t>
      </w:r>
      <w:r>
        <w:rPr>
          <w:rFonts w:ascii="Calibri" w:hAnsi="Calibri" w:eastAsia="Calibri" w:cs="Calibri"/>
          <w:sz w:val="22"/>
          <w:szCs w:val="22"/>
        </w:rPr>
      </w:r>
    </w:p>
    <w:p w14:paraId="0000000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Analysis - AI &amp; Automation -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Requirements Gathering, User Story Authoring, Gap Analysis, Process Mapping, UAT/QA Agentic AI (ServiceNow), Claude Enterprise, Google Gemini, Microsoft Copilot, DeepSeek, ServiceNow, Bash, PowerShell, Linux (Ubuntu/Debian), Windows, iOS, Android.</w:t>
      </w:r>
      <w:r>
        <w:rPr>
          <w:rFonts w:ascii="Calibri" w:hAnsi="Calibri" w:eastAsia="Calibri" w:cs="Calibri"/>
          <w:sz w:val="22"/>
          <w:szCs w:val="22"/>
        </w:rPr>
      </w:r>
    </w:p>
    <w:p w14:paraId="0000000D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PROFESSIONAL EXPERIENCE</w:t>
      </w:r>
      <w:r>
        <w:rPr>
          <w:rFonts w:ascii="Calibri" w:hAnsi="Calibri" w:eastAsia="Calibri" w:cs="Calibri"/>
          <w:b/>
          <w:bCs/>
          <w:smallCaps/>
        </w:rPr>
      </w:r>
    </w:p>
    <w:p w14:paraId="0000000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2025 - May 2026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1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</w:p>
    <w:p w14:paraId="0000001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Product Manager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3">
      <w:pPr>
        <w:pStyle w:val="165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i/>
          <w:iCs/>
          <w:sz w:val="22"/>
          <w:szCs w:val="22"/>
          <w:rtl w:val="0"/>
        </w:rPr>
        <w:t xml:space="preserve">Integrated Risk Management (IRM) Portfolio: Audit Management, Regulatory Change Management, Policy &amp; Compliance, Risk Management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</w:p>
    <w:p w14:paraId="00000014">
      <w:pPr>
        <w:pStyle w:val="165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Spearhead Agentic AI deployment for the IRM platform as 'Customer Zero,' driving a 30% improvement in operational efficiency across a multi-million dollar product portfolio.</w:t>
      </w:r>
      <w:r>
        <w:rPr>
          <w:rFonts w:ascii="Calibri" w:hAnsi="Calibri" w:eastAsia="Calibri" w:cs="Calibri"/>
          <w:sz w:val="22"/>
          <w:szCs w:val="22"/>
        </w:rPr>
      </w:r>
    </w:p>
    <w:p w14:paraId="00000015">
      <w:pPr>
        <w:pStyle w:val="165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Lead end-to-end incident management for IRM, performing root cause analysis and serving as primary stakeholder communication lead for all platform incidents and resolutions.</w:t>
      </w:r>
      <w:r>
        <w:rPr>
          <w:rFonts w:ascii="Calibri" w:hAnsi="Calibri" w:eastAsia="Calibri" w:cs="Calibri"/>
          <w:sz w:val="22"/>
          <w:szCs w:val="22"/>
        </w:rPr>
      </w:r>
    </w:p>
    <w:p w14:paraId="00000016">
      <w:pPr>
        <w:pStyle w:val="165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Define and prioritize product backlog items, author user stories, and drive sprint ceremonies in close partnership with Level 2/3 engineering teams for continuous IRM platform improvements.</w:t>
      </w:r>
      <w:r>
        <w:rPr>
          <w:rFonts w:ascii="Calibri" w:hAnsi="Calibri" w:eastAsia="Calibri" w:cs="Calibri"/>
          <w:sz w:val="22"/>
          <w:szCs w:val="22"/>
        </w:rPr>
      </w:r>
    </w:p>
    <w:p w14:paraId="00000017">
      <w:pPr>
        <w:pStyle w:val="165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Integrate Zoom Agentic AI into the ServiceNow platform to optimize scheduling, record management, and cross-functional engagement workflows.</w:t>
      </w:r>
      <w:r>
        <w:rPr>
          <w:rFonts w:ascii="Calibri" w:hAnsi="Calibri" w:eastAsia="Calibri" w:cs="Calibri"/>
          <w:sz w:val="22"/>
          <w:szCs w:val="22"/>
        </w:rPr>
      </w:r>
    </w:p>
    <w:p w14:paraId="00000018">
      <w:pPr>
        <w:pStyle w:val="165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Deliver compliance oversight for Audit, Regulatory Change, and Policy Management products, ensuring alignment with internal controls and regulatory frameworks.</w:t>
      </w:r>
      <w:r>
        <w:rPr>
          <w:rFonts w:ascii="Calibri" w:hAnsi="Calibri" w:eastAsia="Calibri" w:cs="Calibri"/>
          <w:sz w:val="22"/>
          <w:szCs w:val="22"/>
        </w:rPr>
      </w:r>
    </w:p>
    <w:p w14:paraId="00000019">
      <w:pPr>
        <w:pStyle w:val="165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Champion workflow enhancements across approval flows and notification systems, increasing change compliance and audit readiness for internal business stakeholders.</w:t>
      </w:r>
      <w:r>
        <w:rPr>
          <w:rFonts w:ascii="Calibri" w:hAnsi="Calibri" w:eastAsia="Calibri" w:cs="Calibri"/>
          <w:sz w:val="22"/>
          <w:szCs w:val="22"/>
        </w:rPr>
      </w:r>
    </w:p>
    <w:p w14:paraId="0000001A">
      <w:pPr>
        <w:pStyle w:val="165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Resolve complex platform incidents (e.g., eSignature plugin failure) through cross-functional collaboration and hands-on technical analysis, restoring functionality and improving user experience.</w:t>
      </w:r>
      <w:r>
        <w:rPr>
          <w:rFonts w:ascii="Calibri" w:hAnsi="Calibri" w:eastAsia="Calibri" w:cs="Calibri"/>
          <w:sz w:val="22"/>
          <w:szCs w:val="22"/>
        </w:rPr>
      </w:r>
    </w:p>
    <w:p w14:paraId="0000001B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1C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CYPRESS HCM AT 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2023 - January 2025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D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</w:p>
    <w:p w14:paraId="0000001E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F">
      <w:pPr>
        <w:pStyle w:val="165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Owned the Visitor Management application across 20+ global locations, including mobile version upgrades, hardware integration, and multi-region deployment coordination.</w:t>
      </w:r>
      <w:r>
        <w:rPr>
          <w:rFonts w:ascii="Calibri" w:hAnsi="Calibri" w:eastAsia="Calibri" w:cs="Calibri"/>
          <w:sz w:val="22"/>
          <w:szCs w:val="22"/>
        </w:rPr>
      </w:r>
    </w:p>
    <w:p w14:paraId="00000020">
      <w:pPr>
        <w:pStyle w:val="165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Managed the inaugural deployment of the Occupational Health &amp; Safety application module, establishing baseline processes and governance standards.</w:t>
      </w:r>
      <w:r>
        <w:rPr>
          <w:rFonts w:ascii="Calibri" w:hAnsi="Calibri" w:eastAsia="Calibri" w:cs="Calibri"/>
          <w:sz w:val="22"/>
          <w:szCs w:val="22"/>
        </w:rPr>
      </w:r>
    </w:p>
    <w:p w14:paraId="00000021">
      <w:pPr>
        <w:pStyle w:val="165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Reduced open incidents and service requests by 40% within a three-month period through systematic backlog prioritization and proactive stakeholder engagement.</w:t>
      </w:r>
      <w:r>
        <w:rPr>
          <w:rFonts w:ascii="Calibri" w:hAnsi="Calibri" w:eastAsia="Calibri" w:cs="Calibri"/>
          <w:sz w:val="22"/>
          <w:szCs w:val="22"/>
        </w:rPr>
      </w:r>
    </w:p>
    <w:p w14:paraId="00000022">
      <w:pPr>
        <w:pStyle w:val="165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Developed an internal operational dashboard providing real-time visibility into application health and escalation metrics for leadership.</w:t>
      </w:r>
      <w:r>
        <w:rPr>
          <w:rFonts w:ascii="Calibri" w:hAnsi="Calibri" w:eastAsia="Calibri" w:cs="Calibri"/>
          <w:sz w:val="22"/>
          <w:szCs w:val="22"/>
        </w:rPr>
      </w:r>
    </w:p>
    <w:p w14:paraId="00000023">
      <w:pPr>
        <w:pStyle w:val="165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Coordinated with global development and QA teams (50+ hours/week), authoring user stories, defect reports, and conducting knowledge transfer sessions.</w:t>
      </w:r>
      <w:r>
        <w:rPr>
          <w:rFonts w:ascii="Calibri" w:hAnsi="Calibri" w:eastAsia="Calibri" w:cs="Calibri"/>
          <w:sz w:val="22"/>
          <w:szCs w:val="22"/>
        </w:rPr>
      </w:r>
    </w:p>
    <w:p w14:paraId="0000002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25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FIRST REPUBLIC BANK,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Francisco,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2020 - May 2023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6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Commercial bank and wealth management firm catering to high-net-worth individuals.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</w:p>
    <w:p w14:paraId="0000002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IT Infrastructure Change Analyst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8">
      <w:pPr>
        <w:pStyle w:val="165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Assessed 1,200+ monthly change records, applying ITIL change management principles to reduce emergency/expedited changes by 50%, significantly lowering organizational risk.</w:t>
      </w:r>
      <w:r>
        <w:rPr>
          <w:rFonts w:ascii="Calibri" w:hAnsi="Calibri" w:eastAsia="Calibri" w:cs="Calibri"/>
          <w:sz w:val="22"/>
          <w:szCs w:val="22"/>
        </w:rPr>
      </w:r>
    </w:p>
    <w:p w14:paraId="00000029">
      <w:pPr>
        <w:pStyle w:val="165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Increased standard (pre-approved) changes by 15% through automation initiatives and targeted training programs for change submitters.</w:t>
      </w:r>
      <w:r>
        <w:rPr>
          <w:rFonts w:ascii="Calibri" w:hAnsi="Calibri" w:eastAsia="Calibri" w:cs="Calibri"/>
          <w:sz w:val="22"/>
          <w:szCs w:val="22"/>
        </w:rPr>
      </w:r>
    </w:p>
    <w:p w14:paraId="0000002A">
      <w:pPr>
        <w:pStyle w:val="165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Chaired bi-weekly Change Advisory Board (CAB) meetings, facilitating cross-functional risk discussions and approvals across infrastructure, applications, and security teams.</w:t>
      </w:r>
      <w:r>
        <w:rPr>
          <w:rFonts w:ascii="Calibri" w:hAnsi="Calibri" w:eastAsia="Calibri" w:cs="Calibri"/>
          <w:sz w:val="22"/>
          <w:szCs w:val="22"/>
        </w:rPr>
      </w:r>
    </w:p>
    <w:p w14:paraId="0000002B">
      <w:pPr>
        <w:pStyle w:val="165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Investigated failed changes and post-implementation incidents, delivering root cause analysis reports and remediation training to reduce repeat failures.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C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D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LUMENTUM,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Jose,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2020 - July 2020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E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</w:p>
    <w:p w14:paraId="0000002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ITIL Process Manager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0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Lumentum is a 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</w:p>
    <w:p w14:paraId="00000031">
      <w:pPr>
        <w:pStyle w:val="165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Led ITIL process development and oversight focusing on Incident, Change, Configuration and Problem Management. Organize bi-weekly Change Advisory Board (CAB) meetings covering three regions.</w:t>
      </w:r>
      <w:r>
        <w:rPr>
          <w:rFonts w:ascii="Calibri" w:hAnsi="Calibri" w:eastAsia="Calibri" w:cs="Calibri"/>
          <w:sz w:val="22"/>
          <w:szCs w:val="22"/>
        </w:rPr>
      </w:r>
    </w:p>
    <w:p w14:paraId="00000032">
      <w:pPr>
        <w:pStyle w:val="165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Designed and implemented the Configuration Management Database (CMDB) on ServiceNow CSDM Model.  Assisted with the migration from Jira Service Desk to ServiceNow in the first quarter of 2020.</w:t>
      </w:r>
      <w:r>
        <w:rPr>
          <w:rFonts w:ascii="Calibri" w:hAnsi="Calibri" w:eastAsia="Calibri" w:cs="Calibri"/>
          <w:sz w:val="22"/>
          <w:szCs w:val="22"/>
        </w:rPr>
      </w:r>
    </w:p>
    <w:p w14:paraId="00000033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34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ABBVIE,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Sunnyvale,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August 2018 - December 2019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35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Global biopharmaceutical company discovering and delivering innovative medicines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</w:p>
    <w:p w14:paraId="00000036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ServiceNow Business Analyst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7">
      <w:pPr>
        <w:pStyle w:val="165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Performed domain architecture activities in ServiceNow for a leading pharmaceutical organization.</w:t>
      </w:r>
      <w:r>
        <w:rPr>
          <w:rFonts w:ascii="Calibri" w:hAnsi="Calibri" w:eastAsia="Calibri" w:cs="Calibri"/>
          <w:sz w:val="22"/>
          <w:szCs w:val="22"/>
        </w:rPr>
      </w:r>
    </w:p>
    <w:p w14:paraId="00000038">
      <w:pPr>
        <w:pStyle w:val="165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Analyzed and mapped the 'As-Is' Human Resources (HR) process via Workday to ServiceNow. Supported HR hire, termination, and organizational change workflows in the ITSM platform.</w:t>
      </w:r>
      <w:r>
        <w:rPr>
          <w:rFonts w:ascii="Calibri" w:hAnsi="Calibri" w:eastAsia="Calibri" w:cs="Calibri"/>
          <w:sz w:val="22"/>
          <w:szCs w:val="22"/>
        </w:rPr>
      </w:r>
    </w:p>
    <w:p w14:paraId="00000039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3A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KAISER PERMANENTE,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Pleasanton,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November 2017 - August 2018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3B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One of the largest not-for-profit health plans in the U.S., operating on an integrated care model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</w:p>
    <w:p w14:paraId="0000003C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D">
      <w:pPr>
        <w:pStyle w:val="165"/>
        <w:numPr>
          <w:ilvl w:val="0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Member of the IT Asset Management (ITAM) and Software Asset Management (SAM) project (Matrix42 Suite)</w:t>
      </w:r>
      <w:r>
        <w:rPr>
          <w:rFonts w:ascii="Calibri" w:hAnsi="Calibri" w:eastAsia="Calibri" w:cs="Calibri"/>
          <w:sz w:val="22"/>
          <w:szCs w:val="22"/>
        </w:rPr>
      </w:r>
    </w:p>
    <w:p w14:paraId="0000003E">
      <w:pPr>
        <w:pStyle w:val="165"/>
        <w:numPr>
          <w:ilvl w:val="0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Implemented server licensing provisioning process, tracked software utilization to ensure compliance.</w:t>
      </w:r>
      <w:r>
        <w:rPr>
          <w:rFonts w:ascii="Calibri" w:hAnsi="Calibri" w:eastAsia="Calibri" w:cs="Calibri"/>
          <w:sz w:val="22"/>
          <w:szCs w:val="22"/>
        </w:rPr>
      </w:r>
    </w:p>
    <w:p w14:paraId="0000003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4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DIMENSION DATA,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April 2016 - November 2017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1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ITSM Data / Business Analyst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43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COOPER TECHNOLOGIES,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Santa Cruz, CA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June 2015 - March 2016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 Service Consultant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5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46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HEALTH SHARED SERVICES BC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Vancouver, Canada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January 2013 - June 2014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Coordinator / Business Analyst,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January 2013 - June 2014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8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4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EDUCATION</w:t>
      </w:r>
      <w:r>
        <w:rPr>
          <w:rFonts w:ascii="Calibri" w:hAnsi="Calibri" w:eastAsia="Calibri" w:cs="Calibri"/>
          <w:b/>
          <w:bCs/>
          <w:smallCaps/>
        </w:rPr>
      </w:r>
    </w:p>
    <w:p w14:paraId="0000004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Management, Information Systems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Menlo College, Atherton, CA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ITIL v3 Certified - APM Group Foundation | Microsoft Certified Technology Specialist (MCTS)</w:t>
      </w:r>
      <w:r>
        <w:rPr>
          <w:rFonts w:ascii="Calibri" w:hAnsi="Calibri" w:eastAsia="Calibri" w:cs="Calibri"/>
          <w:sz w:val="22"/>
          <w:szCs w:val="22"/>
        </w:rPr>
      </w:r>
    </w:p>
    <w:p w14:paraId="0000004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FEMA CERT Train-the-Trainer / Program Manager | Bilingual: English (Native) | German (Fluent)</w:t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nextPage"/>
      <w:pgSz w:h="15810" w:orient="portrait" w:w="12225"/>
      <w:pgMar w:top="431" w:right="431" w:bottom="431" w:left="43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Noto Sans Symbols">
    <w:panose1 w:val="05040102010807070707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nsid w:val="761F676F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352FC93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6961354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00D0F22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BA357D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7ECCCB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2"/>
    <w:next w:val="68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2"/>
    <w:next w:val="68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2"/>
    <w:next w:val="68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2"/>
    <w:next w:val="68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2"/>
    <w:next w:val="68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2"/>
    <w:next w:val="6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2"/>
    <w:next w:val="682"/>
    <w:uiPriority w:val="39"/>
    <w:unhideWhenUsed/>
    <w:pPr>
      <w:pBdr/>
      <w:spacing w:after="100"/>
      <w:ind/>
    </w:pPr>
  </w:style>
  <w:style w:type="paragraph" w:styleId="190">
    <w:name w:val="toc 2"/>
    <w:basedOn w:val="682"/>
    <w:next w:val="682"/>
    <w:uiPriority w:val="39"/>
    <w:unhideWhenUsed/>
    <w:pPr>
      <w:pBdr/>
      <w:spacing w:after="100"/>
      <w:ind w:left="220"/>
    </w:pPr>
  </w:style>
  <w:style w:type="paragraph" w:styleId="191">
    <w:name w:val="toc 3"/>
    <w:basedOn w:val="682"/>
    <w:next w:val="682"/>
    <w:uiPriority w:val="39"/>
    <w:unhideWhenUsed/>
    <w:pPr>
      <w:pBdr/>
      <w:spacing w:after="100"/>
      <w:ind w:left="440"/>
    </w:pPr>
  </w:style>
  <w:style w:type="paragraph" w:styleId="192">
    <w:name w:val="toc 4"/>
    <w:basedOn w:val="682"/>
    <w:next w:val="682"/>
    <w:uiPriority w:val="39"/>
    <w:unhideWhenUsed/>
    <w:pPr>
      <w:pBdr/>
      <w:spacing w:after="100"/>
      <w:ind w:left="660"/>
    </w:pPr>
  </w:style>
  <w:style w:type="paragraph" w:styleId="193">
    <w:name w:val="toc 5"/>
    <w:basedOn w:val="682"/>
    <w:next w:val="682"/>
    <w:uiPriority w:val="39"/>
    <w:unhideWhenUsed/>
    <w:pPr>
      <w:pBdr/>
      <w:spacing w:after="100"/>
      <w:ind w:left="880"/>
    </w:pPr>
  </w:style>
  <w:style w:type="paragraph" w:styleId="194">
    <w:name w:val="toc 6"/>
    <w:basedOn w:val="682"/>
    <w:next w:val="682"/>
    <w:uiPriority w:val="39"/>
    <w:unhideWhenUsed/>
    <w:pPr>
      <w:pBdr/>
      <w:spacing w:after="100"/>
      <w:ind w:left="1100"/>
    </w:pPr>
  </w:style>
  <w:style w:type="paragraph" w:styleId="195">
    <w:name w:val="toc 7"/>
    <w:basedOn w:val="682"/>
    <w:next w:val="682"/>
    <w:uiPriority w:val="39"/>
    <w:unhideWhenUsed/>
    <w:pPr>
      <w:pBdr/>
      <w:spacing w:after="100"/>
      <w:ind w:left="1320"/>
    </w:pPr>
  </w:style>
  <w:style w:type="paragraph" w:styleId="196">
    <w:name w:val="toc 8"/>
    <w:basedOn w:val="682"/>
    <w:next w:val="682"/>
    <w:uiPriority w:val="39"/>
    <w:unhideWhenUsed/>
    <w:pPr>
      <w:pBdr/>
      <w:spacing w:after="100"/>
      <w:ind w:left="1540"/>
    </w:pPr>
  </w:style>
  <w:style w:type="paragraph" w:styleId="197">
    <w:name w:val="toc 9"/>
    <w:basedOn w:val="682"/>
    <w:next w:val="68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2"/>
    <w:next w:val="682"/>
    <w:uiPriority w:val="99"/>
    <w:unhideWhenUsed/>
    <w:pPr>
      <w:pBdr/>
      <w:spacing w:after="0" w:afterAutospacing="0"/>
      <w:ind/>
    </w:pPr>
  </w:style>
  <w:style w:type="table" w:styleId="68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2" w:default="1">
    <w:name w:val="Normal"/>
    <w:pPr>
      <w:pBdr/>
      <w:spacing/>
      <w:ind/>
    </w:pPr>
  </w:style>
  <w:style w:type="paragraph" w:styleId="683">
    <w:name w:val="Heading 1"/>
    <w:basedOn w:val="682"/>
    <w:next w:val="682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48"/>
      <w:szCs w:val="48"/>
    </w:rPr>
  </w:style>
  <w:style w:type="paragraph" w:styleId="684">
    <w:name w:val="Heading 2"/>
    <w:basedOn w:val="682"/>
    <w:next w:val="682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36"/>
      <w:szCs w:val="36"/>
    </w:rPr>
  </w:style>
  <w:style w:type="paragraph" w:styleId="685">
    <w:name w:val="Heading 3"/>
    <w:basedOn w:val="682"/>
    <w:next w:val="682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8"/>
      <w:szCs w:val="28"/>
    </w:rPr>
  </w:style>
  <w:style w:type="paragraph" w:styleId="686">
    <w:name w:val="Heading 4"/>
    <w:basedOn w:val="682"/>
    <w:next w:val="682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4"/>
      <w:szCs w:val="24"/>
    </w:rPr>
  </w:style>
  <w:style w:type="paragraph" w:styleId="687">
    <w:name w:val="Heading 5"/>
    <w:basedOn w:val="682"/>
    <w:next w:val="682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0"/>
      <w:szCs w:val="20"/>
    </w:rPr>
  </w:style>
  <w:style w:type="paragraph" w:styleId="688">
    <w:name w:val="Heading 6"/>
    <w:basedOn w:val="682"/>
    <w:next w:val="682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16"/>
      <w:szCs w:val="16"/>
    </w:rPr>
  </w:style>
  <w:style w:type="paragraph" w:styleId="689">
    <w:name w:val="Title"/>
    <w:basedOn w:val="682"/>
    <w:next w:val="682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690">
    <w:name w:val="Subtitle"/>
    <w:basedOn w:val="682"/>
    <w:next w:val="682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cyrus.shahriari@gmail.com" TargetMode="External"/><Relationship Id="rId10" Type="http://schemas.openxmlformats.org/officeDocument/2006/relationships/hyperlink" Target="https://linkedin.com/in/cyrusshahriar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