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tl w:val="0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BUSINESS ANALYST * PROCESS OPTIMIZATION * STAKEHOLDER FACILITATION * AGILE PRACTITIONER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Results-driven Business Analyst and systems thinker with 20+ years of experience gathering, documenting, and optimizing complex busin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ess processes across regulated industries including technology, financial services, healthcare, and enterprise software. Proven ability to translate ambiguous stakeholder needs into clear functional requirements, user stories, and actionable recommendation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s. Track record of leading client engagements, facilitating cross-functional workshops, and delivering process improvements that drive measurable outcomes. Experienced mentor and team lead across globally distributed programs. Fluent in English and German.</w:t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Business Process Analysis &amp; Optimization | Requirements Gathering &amp; Documentation | Stakeholder Facilitation | User Story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&amp; Acceptance Criteria Authoring | Gap &amp; Impact Analysis | Agile / Scrum Methodologies | Client Engagement &amp; Presentations | Process Mapping | Project &amp; Deliverable Management | Cross-Functional Liaison | Mentoring &amp; Team Leadership | AI-Augmented Workflows</w:t>
      </w:r>
      <w:r>
        <w:rPr>
          <w:rFonts w:ascii="Calibri" w:hAnsi="Calibri" w:eastAsia="Calibri" w:cs="Calibri"/>
          <w:sz w:val="22"/>
          <w:szCs w:val="22"/>
        </w:rPr>
      </w:r>
    </w:p>
    <w:p w14:paraId="0000000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Management -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ServiceNow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(Incident, Request, Change, Integrated Risk Management, Workplace Services, Visitor Management), HP Service Manager, Matrix42, Jira, Change Advisory Board (CAB) Facilitation, Request for Change (RFC) Assessment, ITIL Change / Incident / Problem Management.</w:t>
      </w:r>
      <w:r>
        <w:rPr>
          <w:rFonts w:ascii="Calibri" w:hAnsi="Calibri" w:eastAsia="Calibri" w:cs="Calibri"/>
          <w:sz w:val="22"/>
          <w:szCs w:val="22"/>
        </w:rPr>
      </w:r>
    </w:p>
    <w:p w14:paraId="0000000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Analysis - AI &amp; Automation -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Requirements Lifecycle Management, User Story &amp; Epic Authoring, Acceptance Criteri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a Drafting, Backlog Management (JIRA), Documentation (Confluence), Gap Analysis, Process Mapping, UAT/QA | AI Tools: Agentic AI (ServiceNow), Claude Enterprise, Google Gemini, Microsoft Copilot | Platforms: Bash, PowerShell, Linux (Ubuntu/Debian), Windows.</w:t>
      </w:r>
      <w:r>
        <w:rPr>
          <w:rFonts w:ascii="Calibri" w:hAnsi="Calibri" w:eastAsia="Calibri" w:cs="Calibri"/>
          <w:sz w:val="22"/>
          <w:szCs w:val="22"/>
        </w:rPr>
      </w:r>
    </w:p>
    <w:p w14:paraId="0000000D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 / Senior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3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i/>
          <w:iCs/>
          <w:sz w:val="22"/>
          <w:szCs w:val="22"/>
          <w:rtl w:val="0"/>
        </w:rPr>
        <w:t xml:space="preserve">Integrated Risk Management (IRM) Portfolio: Audit Management, Regulatory Change Management, Policy &amp; Compliance, Risk Management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14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Applied AI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tooling across the full BA lifecycle—problem framing, process decomposition, story mapping, and acceptance criteria generation—as internal ‘Customer Zero,’ achieving a 30% improvement in operational efficiency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</w:p>
    <w:p w14:paraId="00000015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Serve as primary stakeholder communication lead for platform issues, conducting root cause analysis and delivering clear, non-technical resolution narratives to executive and cross-functional audiences.</w:t>
      </w:r>
      <w:r>
        <w:rPr>
          <w:rFonts w:ascii="Calibri" w:hAnsi="Calibri" w:eastAsia="Calibri" w:cs="Calibri"/>
          <w:sz w:val="22"/>
          <w:szCs w:val="22"/>
        </w:rPr>
      </w:r>
    </w:p>
    <w:p w14:paraId="00000016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Author and maintain business requirements, functional specs, user stories, and acceptance criteria in JIRA/Confluence; lead sprint ceremonies and drive backlog prioritization aligned to business needs across multiple scrum teams.</w:t>
      </w:r>
      <w:r>
        <w:rPr>
          <w:rFonts w:ascii="Calibri" w:hAnsi="Calibri" w:eastAsia="Calibri" w:cs="Calibri"/>
          <w:sz w:val="22"/>
          <w:szCs w:val="22"/>
        </w:rPr>
      </w:r>
    </w:p>
    <w:p w14:paraId="00000017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Lead ongoing reviews of business processes for the IRM platform, documenting as-is/to-be states, identifying optimization opportunities, and developing improvement strategies adopted across stakeholder groups.</w:t>
      </w:r>
      <w:r>
        <w:rPr>
          <w:rFonts w:ascii="Calibri" w:hAnsi="Calibri" w:eastAsia="Calibri" w:cs="Calibri"/>
          <w:sz w:val="22"/>
          <w:szCs w:val="22"/>
        </w:rPr>
      </w:r>
    </w:p>
    <w:p w14:paraId="00000018">
      <w:pPr>
        <w:pStyle w:val="165"/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Facilitate client and stakeholder workshops to capture unspoken requirements, validate business processes, and ensure delivered solutions meet both functional and non-functional business needs.</w:t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F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the Visitor Management application across 20+ global locations, including mobile version upgrades, hardware integration, and multi-region deployment coordination.</w:t>
      </w:r>
      <w:r>
        <w:rPr>
          <w:rFonts w:ascii="Calibri" w:hAnsi="Calibri" w:eastAsia="Calibri" w:cs="Calibri"/>
          <w:sz w:val="22"/>
          <w:szCs w:val="22"/>
        </w:rPr>
      </w:r>
    </w:p>
    <w:p w14:paraId="00000020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Managed the inaugural deployment of the Occupational Health &amp; Safety application module, establishing baseline processes and governance standards.</w:t>
      </w:r>
      <w:r>
        <w:rPr>
          <w:rFonts w:ascii="Calibri" w:hAnsi="Calibri" w:eastAsia="Calibri" w:cs="Calibri"/>
          <w:sz w:val="22"/>
          <w:szCs w:val="22"/>
        </w:rPr>
      </w:r>
    </w:p>
    <w:p w14:paraId="00000021">
      <w:pPr>
        <w:pStyle w:val="165"/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Reduced open incidents and service requests by 40% within a three-month period through systematic backlog prioritization and proactive stakeholder engagement.</w:t>
      </w:r>
      <w:r>
        <w:rPr>
          <w:rFonts w:ascii="Calibri" w:hAnsi="Calibri" w:eastAsia="Calibri" w:cs="Calibri"/>
          <w:sz w:val="22"/>
          <w:szCs w:val="22"/>
        </w:rPr>
      </w:r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8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Assessed 1,200+ monthly change records, applying ITIL change management principles to reduce emergency/expedited changes by 50%, significantly lowering organizational risk.</w:t>
      </w:r>
      <w:r>
        <w:rPr>
          <w:rFonts w:ascii="Calibri" w:hAnsi="Calibri" w:eastAsia="Calibri" w:cs="Calibri"/>
          <w:sz w:val="22"/>
          <w:szCs w:val="22"/>
        </w:rPr>
      </w:r>
    </w:p>
    <w:p w14:paraId="00000029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Increased standard (pre-approved) changes by 15% through automation initiatives and targeted training programs for change submitters.</w:t>
      </w:r>
      <w:r>
        <w:rPr>
          <w:rFonts w:ascii="Calibri" w:hAnsi="Calibri" w:eastAsia="Calibri" w:cs="Calibri"/>
          <w:sz w:val="22"/>
          <w:szCs w:val="22"/>
        </w:rPr>
      </w:r>
    </w:p>
    <w:p w14:paraId="0000002A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Chaired bi-weekly Change Advisory Board (CAB) meetings, facilitating cross-functional risk discussions and approvals across infrastructure, applications, and security teams.</w:t>
      </w:r>
      <w:r>
        <w:rPr>
          <w:rFonts w:ascii="Calibri" w:hAnsi="Calibri" w:eastAsia="Calibri" w:cs="Calibri"/>
          <w:sz w:val="22"/>
          <w:szCs w:val="22"/>
        </w:rPr>
      </w:r>
    </w:p>
    <w:p w14:paraId="0000002B">
      <w:pPr>
        <w:pStyle w:val="165"/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Investigated failed changes and post-implementation incidents, delivering root cause analysis reports and remediation training to reduce repeat failures.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</w:p>
    <w:p w14:paraId="00000031">
      <w:pPr>
        <w:pStyle w:val="165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process development and oversight focusing on Incident, Change, Configuration and Problem Management. Organize bi-weekly Change Advisory Board (CAB) meetings covering three regions.</w:t>
      </w:r>
      <w:r>
        <w:rPr>
          <w:rFonts w:ascii="Calibri" w:hAnsi="Calibri" w:eastAsia="Calibri" w:cs="Calibri"/>
          <w:sz w:val="22"/>
          <w:szCs w:val="22"/>
        </w:rPr>
      </w:r>
    </w:p>
    <w:p w14:paraId="00000032">
      <w:pPr>
        <w:pStyle w:val="165"/>
        <w:numPr>
          <w:ilvl w:val="0"/>
          <w:numId w:val="1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the Configuration Management Database (CMDB) on ServiceNow CSDM Model.  Assisted with the migration from Jira Service Desk to ServiceNow in the first quarter of 2020.</w:t>
      </w:r>
      <w:r>
        <w:rPr>
          <w:rFonts w:ascii="Calibri" w:hAnsi="Calibri" w:eastAsia="Calibri" w:cs="Calibri"/>
          <w:sz w:val="22"/>
          <w:szCs w:val="22"/>
        </w:rPr>
      </w:r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7">
      <w:pPr>
        <w:pStyle w:val="165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analysis for a global pharmaceutical organization, eliciting and documenting requirements for enterprise platform implementations in a compliance-driven environment.</w:t>
      </w:r>
      <w:r>
        <w:rPr>
          <w:rFonts w:ascii="Calibri" w:hAnsi="Calibri" w:eastAsia="Calibri" w:cs="Calibri"/>
          <w:sz w:val="22"/>
          <w:szCs w:val="22"/>
        </w:rPr>
      </w:r>
    </w:p>
    <w:p w14:paraId="00000038">
      <w:pPr>
        <w:pStyle w:val="165"/>
        <w:numPr>
          <w:ilvl w:val="0"/>
          <w:numId w:val="1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Mapped As-Is/To-Be HR process flows and authored functional requirements to support a validated Workday-to-ServiceNow integration, serving as liaison between HR stakeholders and technical implementation teams.</w:t>
      </w:r>
      <w:r>
        <w:rPr>
          <w:rFonts w:ascii="Calibri" w:hAnsi="Calibri" w:eastAsia="Calibri" w:cs="Calibri"/>
          <w:sz w:val="22"/>
          <w:szCs w:val="22"/>
        </w:rPr>
      </w:r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B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One of the largest not-for-profit health plans in the U.S., operating on an integrated care model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</w:p>
    <w:p w14:paraId="0000003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D">
      <w:pPr>
        <w:pStyle w:val="165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Supported ITAM/SAM process analysis at one of the largest not-for-profit health plans in the U.S., documenting requirements and gap analysis for enterprise asset management implementation.</w:t>
      </w:r>
      <w:r>
        <w:rPr>
          <w:rFonts w:ascii="Calibri" w:hAnsi="Calibri" w:eastAsia="Calibri" w:cs="Calibri"/>
          <w:sz w:val="22"/>
          <w:szCs w:val="22"/>
        </w:rPr>
      </w:r>
    </w:p>
    <w:p w14:paraId="0000003E">
      <w:pPr>
        <w:pStyle w:val="165"/>
        <w:numPr>
          <w:ilvl w:val="0"/>
          <w:numId w:val="1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Designed and implemented server licensing provisioning processes, tracking utilization data and presenting compliance reporting to management and audit stakeholders.</w:t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April 2016 - November 2017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1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3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6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4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 / Business Analyst,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January 2013 - June 2014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44E9315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2A8080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151ADD5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714731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941A14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2E5667A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2"/>
    <w:next w:val="68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2"/>
    <w:next w:val="68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2"/>
    <w:next w:val="68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2"/>
    <w:next w:val="68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2"/>
    <w:next w:val="68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2"/>
    <w:next w:val="6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2"/>
    <w:next w:val="682"/>
    <w:uiPriority w:val="39"/>
    <w:unhideWhenUsed/>
    <w:pPr>
      <w:pBdr/>
      <w:spacing w:after="100"/>
      <w:ind/>
    </w:pPr>
  </w:style>
  <w:style w:type="paragraph" w:styleId="190">
    <w:name w:val="toc 2"/>
    <w:basedOn w:val="682"/>
    <w:next w:val="682"/>
    <w:uiPriority w:val="39"/>
    <w:unhideWhenUsed/>
    <w:pPr>
      <w:pBdr/>
      <w:spacing w:after="100"/>
      <w:ind w:left="220"/>
    </w:pPr>
  </w:style>
  <w:style w:type="paragraph" w:styleId="191">
    <w:name w:val="toc 3"/>
    <w:basedOn w:val="682"/>
    <w:next w:val="682"/>
    <w:uiPriority w:val="39"/>
    <w:unhideWhenUsed/>
    <w:pPr>
      <w:pBdr/>
      <w:spacing w:after="100"/>
      <w:ind w:left="440"/>
    </w:pPr>
  </w:style>
  <w:style w:type="paragraph" w:styleId="192">
    <w:name w:val="toc 4"/>
    <w:basedOn w:val="682"/>
    <w:next w:val="682"/>
    <w:uiPriority w:val="39"/>
    <w:unhideWhenUsed/>
    <w:pPr>
      <w:pBdr/>
      <w:spacing w:after="100"/>
      <w:ind w:left="660"/>
    </w:pPr>
  </w:style>
  <w:style w:type="paragraph" w:styleId="193">
    <w:name w:val="toc 5"/>
    <w:basedOn w:val="682"/>
    <w:next w:val="682"/>
    <w:uiPriority w:val="39"/>
    <w:unhideWhenUsed/>
    <w:pPr>
      <w:pBdr/>
      <w:spacing w:after="100"/>
      <w:ind w:left="880"/>
    </w:pPr>
  </w:style>
  <w:style w:type="paragraph" w:styleId="194">
    <w:name w:val="toc 6"/>
    <w:basedOn w:val="682"/>
    <w:next w:val="682"/>
    <w:uiPriority w:val="39"/>
    <w:unhideWhenUsed/>
    <w:pPr>
      <w:pBdr/>
      <w:spacing w:after="100"/>
      <w:ind w:left="1100"/>
    </w:pPr>
  </w:style>
  <w:style w:type="paragraph" w:styleId="195">
    <w:name w:val="toc 7"/>
    <w:basedOn w:val="682"/>
    <w:next w:val="682"/>
    <w:uiPriority w:val="39"/>
    <w:unhideWhenUsed/>
    <w:pPr>
      <w:pBdr/>
      <w:spacing w:after="100"/>
      <w:ind w:left="1320"/>
    </w:pPr>
  </w:style>
  <w:style w:type="paragraph" w:styleId="196">
    <w:name w:val="toc 8"/>
    <w:basedOn w:val="682"/>
    <w:next w:val="682"/>
    <w:uiPriority w:val="39"/>
    <w:unhideWhenUsed/>
    <w:pPr>
      <w:pBdr/>
      <w:spacing w:after="100"/>
      <w:ind w:left="1540"/>
    </w:pPr>
  </w:style>
  <w:style w:type="paragraph" w:styleId="197">
    <w:name w:val="toc 9"/>
    <w:basedOn w:val="682"/>
    <w:next w:val="68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2"/>
    <w:next w:val="682"/>
    <w:uiPriority w:val="99"/>
    <w:unhideWhenUsed/>
    <w:pPr>
      <w:pBdr/>
      <w:spacing w:after="0" w:afterAutospacing="0"/>
      <w:ind/>
    </w:pPr>
  </w:style>
  <w:style w:type="table" w:styleId="68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2" w:default="1">
    <w:name w:val="Normal"/>
    <w:pPr>
      <w:pBdr/>
      <w:spacing/>
      <w:ind/>
    </w:pPr>
  </w:style>
  <w:style w:type="paragraph" w:styleId="683">
    <w:name w:val="Heading 1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684">
    <w:name w:val="Heading 2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685">
    <w:name w:val="Heading 3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686">
    <w:name w:val="Heading 4"/>
    <w:basedOn w:val="682"/>
    <w:next w:val="682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687">
    <w:name w:val="Heading 5"/>
    <w:basedOn w:val="682"/>
    <w:next w:val="682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688">
    <w:name w:val="Heading 6"/>
    <w:basedOn w:val="682"/>
    <w:next w:val="682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689">
    <w:name w:val="Title"/>
    <w:basedOn w:val="682"/>
    <w:next w:val="682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690">
    <w:name w:val="Subtitle"/>
    <w:basedOn w:val="682"/>
    <w:next w:val="68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