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SYSTEMS ANALYST • PRODUCT MANAGEMENT • ENTERPRISE GOVERNANCE • AI ENABLEMENT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Business Systems Analyst and Product Management professional with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2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0+ years of experience translating business strategy into scalable enterprise technology solutions across healthcare, financial services, and SaaS environments. Experienced pa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rtnering with Enterprise Architecture, Product, Engineering, and Operations teams to define requirements, improve operational standards, reduce technology risk, and deliver enterprise-wide process improvements through Agile methodologies and AI-enabled work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flows.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6F76C5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  <w:br/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Enterprise Architecture Collaboration, Operational Standards, Architecture Governance, Business Case Development, Process Modeling, Current-State / Future-State Analysis, Architecture Risk Management, Product Ownership, Requirements Lifecycle, Operational 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xcellence</w:t>
      </w:r>
      <w:r>
        <w:rPr>
          <w:rFonts w:ascii="Calibri" w:hAnsi="Calibri" w:eastAsia="Calibri" w:cs="Calibri"/>
          <w:sz w:val="22"/>
          <w:szCs w:val="22"/>
          <w:lang w:val="en-US"/>
        </w:rPr>
        <w:br/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BRD &amp; Functional Specification Authoring,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AI-Enabled Product Development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AI, AI-Augmented Workflows, Process Automation.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AD, Power BI.</w:t>
      </w:r>
      <w:r>
        <w:rPr>
          <w:rFonts w:ascii="Calibri" w:hAnsi="Calibri" w:eastAsia="Calibri" w:cs="Calibri"/>
          <w:sz w:val="22"/>
          <w:szCs w:val="22"/>
        </w:rPr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Engagement, Change Management, Training &amp; End-User Support.</w:t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C7B6094">
      <w:pPr>
        <w:pStyle w:val="890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Partnered with Enterprise Architecture, Product Management, Engineering, Risk, and business stakeholders to translate operational requirements into scalable enterprise platform capabilities supporting Audit, Regulatory Change, Policy, and Risk Management.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</w:rPr>
      </w:r>
    </w:p>
    <w:p w14:paraId="538CC7F1">
      <w:pPr>
        <w:pStyle w:val="890"/>
        <w:numPr>
          <w:ilvl w:val="0"/>
          <w:numId w:val="2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Performed current-state and future-state process analysis, identifying capability gaps and recommending AI-enabled operational improvements that increased efficiency by 30%.</w:t>
      </w:r>
      <w:r/>
      <w:r/>
    </w:p>
    <w:p w14:paraId="1B5BB483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Provided operational support working closely with the Incident Command Operations Center L1, L2, L3.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315213C7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66AA978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Developed business requirements, functional specifications, user stories, epics, and acceptance criteria while supporting solution design, backlog prioritization, and Agile delivery across multiple enterprise products.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34B3FDD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Facilitated client and stakeholder workshops to capture functional and non-functional requirements, ensuring delivered solutions aligned with enterprise business objectives.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015CE2C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Partnered with cross-functional teams to standardize operational processes, improve governance visibility, and support consistent enterprise decision making across multiple technology domains.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</w:rPr>
      </w:r>
    </w:p>
    <w:p w14:paraId="3B6C9391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Supported solution design sessions with architects and engineering teams translating business requirements into scalable enterprise capabilities.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E27064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Established governance standards and operational processes for the Occupational Health &amp; Safety platform, improving consistency across enterprise deployments.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</w:p>
    <w:p w14:paraId="524F79C0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</w:p>
    <w:p w14:paraId="00000022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  <w:br/>
        <w:br/>
        <w:br/>
        <w:br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mitigate organizational risk and reduce emergency/expedited changes by 50%.</w:t>
      </w:r>
      <w:r/>
    </w:p>
    <w:p w14:paraId="6D624401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 and targeted reporting systems.</w:t>
      </w:r>
      <w:r/>
    </w:p>
    <w:p w14:paraId="08F202FC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Led bi-weekly Change Advisory Board (CAB) meetings involving infrastructure, application, security, and architecture stakeholders to evaluate implementation risk and support enterprise operational stability.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0000002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implementation records, delivering detailed root cause analysis reports and technical remediation strategies to minimize repeat operational incidents.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enterprise Software Asset Management (SAM) and IT Asset Management (ITAM) initiatives through business analysis, process optimization, software licensing governance, and enterprise reporting.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/>
    </w:p>
    <w:p w14:paraId="0000003B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enterprise software licensing workflows and reporting dashboards supporting operational governance, compliance visibility, and audit readiness.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90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7"/>
    <w:basedOn w:val="927"/>
    <w:next w:val="927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7"/>
    <w:next w:val="927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7"/>
    <w:next w:val="927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>
    <w:name w:val="Heading 1 Char"/>
    <w:basedOn w:val="87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5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875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875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7"/>
    <w:next w:val="927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5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7"/>
    <w:next w:val="927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7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5"/>
    <w:link w:val="901"/>
    <w:uiPriority w:val="99"/>
    <w:pPr>
      <w:pBdr/>
      <w:spacing/>
      <w:ind/>
    </w:pPr>
  </w:style>
  <w:style w:type="paragraph" w:styleId="903">
    <w:name w:val="Foot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5"/>
    <w:link w:val="903"/>
    <w:uiPriority w:val="99"/>
    <w:pPr>
      <w:pBdr/>
      <w:spacing/>
      <w:ind/>
    </w:pPr>
  </w:style>
  <w:style w:type="paragraph" w:styleId="905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7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5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6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7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8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19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0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1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2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 w:default="1">
    <w:name w:val="Normal"/>
    <w:pPr>
      <w:pBdr/>
      <w:spacing/>
      <w:ind/>
    </w:pPr>
  </w:style>
  <w:style w:type="paragraph" w:styleId="928">
    <w:name w:val="Heading 1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29">
    <w:name w:val="Heading 2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0">
    <w:name w:val="Heading 3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1">
    <w:name w:val="Heading 4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2">
    <w:name w:val="Heading 5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3">
    <w:name w:val="Heading 6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4">
    <w:name w:val="Title"/>
    <w:basedOn w:val="927"/>
    <w:next w:val="92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5">
    <w:name w:val="Subtitle"/>
    <w:basedOn w:val="927"/>
    <w:next w:val="92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2026-07-10T22:55:01Z</dcterms:modified>
</cp:coreProperties>
</file>