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4644 Mossbrook Circle,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CHANGE MANAGE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MENT 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• SERVICENOW • ITIL • BUSINESS SYSTEMS ANALYST</w:t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Senior Product Manager and Business Systems Analyst with expertise delivering AI-enabled compliance, governance, risk, and enterprise workflow products for Fortune 500 organizations. Experienced leading the complete product lifecycle—from customer discovery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and roadmap development through Agile delivery and adoption—across highly regulated financial services, healthcare, and technology environments. Proven success translating complex regulatory requirements into scalable ServiceNow solutions while leveraging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Generative AI to improve operational efficiency and accelerate product delivery.</w:t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7468FDD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IT Change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: </w:t>
      </w:r>
      <w:r>
        <w:rPr>
          <w:rFonts w:ascii="Calibri" w:hAnsi="Calibri" w:eastAsia="Calibri" w:cs="Calibri"/>
          <w:sz w:val="22"/>
          <w:szCs w:val="22"/>
        </w:rPr>
        <w:t xml:space="preserve">Enterprise Change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ServiceNow Change Administration</w:t>
      </w:r>
      <w:r>
        <w:rPr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CAB Facilitation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ITIL Change Enablement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Incident &amp; Problem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CMDB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Performance Analytics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Risk Assessment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C</w:t>
      </w:r>
      <w:r>
        <w:rPr>
          <w:rFonts w:ascii="Calibri" w:hAnsi="Calibri" w:eastAsia="Calibri" w:cs="Calibri"/>
          <w:sz w:val="22"/>
          <w:szCs w:val="22"/>
        </w:rPr>
        <w:t xml:space="preserve">hange Calendar Administration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Executive Reporting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Agile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Process Governance</w:t>
      </w:r>
      <w:r>
        <w:rPr>
          <w:rFonts w:ascii="Calibri" w:hAnsi="Calibri" w:eastAsia="Calibri" w:cs="Calibri"/>
          <w:sz w:val="22"/>
          <w:szCs w:val="22"/>
        </w:rPr>
      </w:r>
      <w:r/>
    </w:p>
    <w:p w14:paraId="485F9634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AI &amp; Generative AI Technologies</w:t>
      </w:r>
      <w:r>
        <w:rPr>
          <w:rFonts w:ascii="Calibri" w:hAnsi="Calibri" w:eastAsia="Calibri" w:cs="Calibri"/>
          <w:sz w:val="22"/>
          <w:szCs w:val="22"/>
        </w:rPr>
        <w:t xml:space="preserve">: Google Gemini, ChatGPT, Microsoft Copilot, Claude Enterprise, Agentic AI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  <w:br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Enterprise Applications &amp; Tools</w:t>
      </w:r>
      <w:r>
        <w:rPr>
          <w:rFonts w:ascii="Calibri" w:hAnsi="Calibri" w:eastAsia="Calibri" w:cs="Calibri"/>
          <w:sz w:val="22"/>
          <w:szCs w:val="22"/>
        </w:rPr>
        <w:t xml:space="preserve">: ServiceNow, Jira, Confluence, Workday, PowerShell, Linux, Windows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SharePoint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</w:r>
      <w:r/>
    </w:p>
    <w:p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Business Analysis &amp; Systems Evaluation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Requirements Lifecycle Management, User Story &amp; Epic Generation, Acceptance Criteria Drafting, Backlog Management, Gap &amp; Impact Analysis, As-Is/To-Be Process Mapping, User</w:t>
      </w:r>
      <w:r>
        <w:rPr>
          <w:rFonts w:ascii="Calibri" w:hAnsi="Calibri" w:eastAsia="Calibri" w:cs="Calibri"/>
          <w:sz w:val="22"/>
          <w:szCs w:val="22"/>
        </w:rPr>
        <w:t xml:space="preserve"> Acceptance Testing (UAT).</w:t>
      </w:r>
      <w:r>
        <w:rPr>
          <w:rFonts w:ascii="Calibri" w:hAnsi="Calibri" w:eastAsia="Calibri" w:cs="Calibri"/>
          <w:b/>
          <w:bCs/>
          <w:sz w:val="22"/>
          <w:szCs w:val="22"/>
        </w:rPr>
        <w:br/>
        <w:t xml:space="preserve">Methodologies &amp; Leadership</w:t>
      </w:r>
      <w:r>
        <w:rPr>
          <w:rFonts w:ascii="Calibri" w:hAnsi="Calibri" w:eastAsia="Calibri" w:cs="Calibri"/>
          <w:sz w:val="22"/>
          <w:szCs w:val="22"/>
        </w:rPr>
        <w:t xml:space="preserve">: Agile/Scrum, ITIL Framework, Cross-Functional Team Collaboration, Stakeholder Engagement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  <w:br/>
      </w:r>
      <w:r>
        <w:rPr>
          <w:rFonts w:ascii="Calibri" w:hAnsi="Calibri" w:eastAsia="Calibri" w:cs="Calibri"/>
          <w:sz w:val="22"/>
          <w:szCs w:val="22"/>
          <w14:ligatures w14:val="none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22A050F6">
      <w:pPr>
        <w:pStyle w:val="890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O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wned product strategy and roadmap execution** for ServiceNow Integrated Risk Management (IRM) capabilities supporting Audit Management, Regulatory Change, Policy &amp; Compliance, and Enterprise Risk. Prioritized roadmap investments based on customer feedback,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regulatory requirements, and engineering capacity.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9C0FED2">
      <w:pPr>
        <w:pStyle w:val="890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  <w:t xml:space="preserve">Applied Generative AI and Agentic AI to automate regulatory workflows including requirements generation, policy interpretation, acceptance criteria creation, and audit documentation, improving delivery efficiency by 30% across a multi-million-dollar complia</w:t>
      </w:r>
      <w:r>
        <w:rPr>
          <w:rFonts w:ascii="Calibri" w:hAnsi="Calibri" w:eastAsia="Calibri" w:cs="Calibri"/>
          <w:sz w:val="22"/>
          <w:szCs w:val="22"/>
          <w:highlight w:val="none"/>
        </w:rPr>
        <w:t xml:space="preserve">nce product portfolio.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019B8470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Supported enterprise ServiceNow platform operations by partnering with Incident Management, platform engineering, and governance teams to improve operational stability, change quality, and AI-enabled efficiency.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766AA978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Authored and maintained comprehensive business requirements, functional specifications, user stories, and acceptance criteria in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ServiceNow;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led sprint ceremonies and drove backlog prioritization.</w:t>
      </w:r>
      <w:r/>
    </w:p>
    <w:p w14:paraId="34B3FDD0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Served as primary communication lead for platform issues, conducting root cause analysis and delivering clear, data-driven insights and dashboards to executive and cross-functional audiences.</w:t>
      </w:r>
      <w:r/>
    </w:p>
    <w:p w14:paraId="00000019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Managed the complete product lifecycle from discovery and stakeholder workshops through roadmap planning, backlog prioritization, sprint execution, release management, adoption, and continuous product improvement.</w:t>
      </w:r>
      <w:r>
        <w:rPr>
          <w:rFonts w:ascii="Calibri" w:hAnsi="Calibri" w:eastAsia="Calibri" w:cs="Calibri"/>
          <w:sz w:val="22"/>
          <w:szCs w:val="22"/>
        </w:rPr>
      </w:r>
    </w:p>
    <w:p w14:paraId="0601ED4A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Partnered with compliance, audit, and legal stakeholders to translate evolving regulatory obligations into product capabilities supporting enterprise governance, audit readiness, and policy compliance.</w:t>
      </w:r>
      <w:r>
        <w:rPr>
          <w:rFonts w:ascii="Calibri" w:hAnsi="Calibri" w:eastAsia="Calibri" w:cs="Calibri"/>
          <w:sz w:val="22"/>
          <w:szCs w:val="22"/>
        </w:rPr>
      </w:r>
    </w:p>
    <w:p w14:paraId="487066D3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Conducted workshops with auditors, compliance specialists, business owners, and technical stakeholders to validate product requirements, prioritize enhancements, and improve user adoption.</w:t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  <w:br/>
      </w:r>
      <w:r/>
      <w:r/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524F79C0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and optimized the ServiceNow Visitor Management application across 20+ global locations, directing mobile version upgrades, hardware integration, and multi-region system deployments.</w:t>
      </w:r>
      <w:r/>
    </w:p>
    <w:p w14:paraId="2A5A52F4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functional specifications, data tracking, and governance standards.</w:t>
      </w:r>
      <w:r/>
      <w:r>
        <w:rPr>
          <w:rFonts w:ascii="Calibri" w:hAnsi="Calibri" w:eastAsia="Calibri" w:cs="Calibri"/>
          <w:sz w:val="22"/>
          <w:szCs w:val="22"/>
        </w:rPr>
        <w:br/>
        <w:br/>
      </w:r>
      <w:r>
        <w:rPr>
          <w:rFonts w:ascii="Calibri" w:hAnsi="Calibri" w:eastAsia="Calibri" w:cs="Calibri"/>
          <w:sz w:val="22"/>
          <w:szCs w:val="22"/>
        </w:rPr>
      </w:r>
      <w:r/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1BB3B157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Evaluated more than 1,200 monthly infrastructure and application change requests, balancing operational risk, regulatory compliance, business priorities, and production stability within an enterprise financial services environment.</w:t>
      </w: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17510145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Chaired bi-weekly Change Advisory Board (CAB) meetings, facilitating risk assessment, approval decisions, scheduling, and production readiness reviews with infrastructure, application, and executive stakeholders.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2D5E2925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Managed Normal, Standard, Emergency, and Expedited Changes within ServiceNow Change Management, ensuring testing evidence, rollback plans, approvals, and implementation documentation met governance standards.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33699F3A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Administered the enterprise </w:t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Forward Schedule of Changes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, preventing scheduling conflicts through CMDB dependency analysis and coordination across multiple technical teams.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6A531D16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Partnered with Incident and Problem Management teams to investigate failed implementations, perform Root Cause Analysis, and reduce recurring operational risk.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7379BDD8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Improved change governance through reporting and KPI analysis, reducing emergency changes by over 50% while increasing successful standard changes through workflow automation.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04CF148D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Supported audit readiness by maintaining complete change records, approval history, and policy compliance within a highly regulated financial services environment.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6D624401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standard, pre-approved automated changes by 15% through workflow automation initiatives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.</w:t>
      </w:r>
      <w:r/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F4BD69E">
      <w:pPr>
        <w:pStyle w:val="890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system process development, oversight, and configuration tracking with a primary focus on Incident, Change, Configuration, and Problem Management across three global regions.</w:t>
      </w:r>
      <w:r/>
    </w:p>
    <w:p w14:paraId="00000031">
      <w:pPr>
        <w:pStyle w:val="890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the Configuration Management Database (CMDB) on the ServiceNow CSDM model, successfully aiding the corporate platform migration from Jira Service Desk to ServiceNow.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4495BC7C">
      <w:pPr>
        <w:pStyle w:val="890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end-to-end business systems analysis for a global pharmaceutical organization, eliciting and documenting regulatory requirements for platform implementations in a compliance-driven environment.</w:t>
      </w:r>
      <w:r/>
    </w:p>
    <w:p w14:paraId="00000038">
      <w:pPr>
        <w:pStyle w:val="890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Mapped complex As-Is/To-Be HR process flows and authored functional specs to support a validated Workday-to-ServiceNow system integration, serving as the core liaison between business teams and technical engineers.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10FF1720">
      <w:pPr>
        <w:pBdr/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  <w:t xml:space="preserve">One of the largest not-for-profit health plans in the U.S., operating on an integrated care model.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7828A4C9">
      <w:pPr>
        <w:pBdr/>
        <w:spacing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</w:p>
    <w:p w14:paraId="1972BE63">
      <w:pPr>
        <w:pStyle w:val="890"/>
        <w:numPr>
          <w:ilvl w:val="0"/>
          <w:numId w:val="19"/>
        </w:numPr>
        <w:pBdr/>
        <w:spacing w:after="0" w:before="0"/>
        <w:ind w:right="0"/>
        <w:jc w:val="both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Supported ITAM and SAM process optimization at an enterprise healthcare scale, tracking system requirements and conducting gap analysis for corporate asset management deployment.</w:t>
      </w:r>
      <w:r/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128B67B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ab/>
        <w:tab/>
        <w:t xml:space="preserve">April 2016 - November 2017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  <w:tab/>
        <w:tab/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  <w:tab/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sz w:val="22"/>
          <w:szCs w:val="22"/>
        </w:rPr>
        <w:br/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EUROPEAN CENTRAL BANK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ITIL Designer, Frankfurt, Germany</w:t>
        <w:tab/>
        <w:tab/>
        <w:tab/>
        <w:tab/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March 2026 – March 2012</w:t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761F676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352FC9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961354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0D0F22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A357D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ECCCB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CA121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636F64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D5AB91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E4F05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6F515B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D6236C6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7"/>
    <w:basedOn w:val="927"/>
    <w:next w:val="927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3">
    <w:name w:val="Heading 8"/>
    <w:basedOn w:val="927"/>
    <w:next w:val="927"/>
    <w:link w:val="8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Heading 9"/>
    <w:basedOn w:val="927"/>
    <w:next w:val="927"/>
    <w:link w:val="8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5" w:default="1">
    <w:name w:val="Default Paragraph Font"/>
    <w:uiPriority w:val="1"/>
    <w:semiHidden/>
    <w:unhideWhenUsed/>
    <w:pPr>
      <w:pBdr/>
      <w:spacing/>
      <w:ind/>
    </w:pPr>
  </w:style>
  <w:style w:type="numbering" w:styleId="876" w:default="1">
    <w:name w:val="No List"/>
    <w:uiPriority w:val="99"/>
    <w:semiHidden/>
    <w:unhideWhenUsed/>
    <w:pPr>
      <w:pBdr/>
      <w:spacing/>
      <w:ind/>
    </w:pPr>
  </w:style>
  <w:style w:type="character" w:styleId="877">
    <w:name w:val="Heading 1 Char"/>
    <w:basedOn w:val="875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8">
    <w:name w:val="Heading 2 Char"/>
    <w:basedOn w:val="875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9">
    <w:name w:val="Heading 3 Char"/>
    <w:basedOn w:val="875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0">
    <w:name w:val="Heading 4 Char"/>
    <w:basedOn w:val="875"/>
    <w:link w:val="9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1">
    <w:name w:val="Heading 5 Char"/>
    <w:basedOn w:val="875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2">
    <w:name w:val="Heading 6 Char"/>
    <w:basedOn w:val="875"/>
    <w:link w:val="9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>
    <w:name w:val="Heading 7 Char"/>
    <w:basedOn w:val="875"/>
    <w:link w:val="87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>
    <w:name w:val="Heading 8 Char"/>
    <w:basedOn w:val="875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Heading 9 Char"/>
    <w:basedOn w:val="875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Title Char"/>
    <w:basedOn w:val="875"/>
    <w:link w:val="9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7">
    <w:name w:val="Subtitle Char"/>
    <w:basedOn w:val="875"/>
    <w:link w:val="93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7"/>
    <w:next w:val="927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5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0">
    <w:name w:val="List Paragraph"/>
    <w:basedOn w:val="927"/>
    <w:uiPriority w:val="34"/>
    <w:qFormat/>
    <w:pPr>
      <w:pBdr/>
      <w:spacing/>
      <w:ind w:left="720"/>
      <w:contextualSpacing w:val="true"/>
    </w:pPr>
  </w:style>
  <w:style w:type="character" w:styleId="891">
    <w:name w:val="Intense Emphasis"/>
    <w:basedOn w:val="8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Intense Quote"/>
    <w:basedOn w:val="927"/>
    <w:next w:val="927"/>
    <w:link w:val="8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3">
    <w:name w:val="Intense Quote Char"/>
    <w:basedOn w:val="875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8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5">
    <w:name w:val="No Spacing"/>
    <w:basedOn w:val="927"/>
    <w:uiPriority w:val="1"/>
    <w:qFormat/>
    <w:pPr>
      <w:pBdr/>
      <w:spacing w:after="0" w:line="240" w:lineRule="auto"/>
      <w:ind/>
    </w:pPr>
  </w:style>
  <w:style w:type="character" w:styleId="896">
    <w:name w:val="Subtle Emphasis"/>
    <w:basedOn w:val="8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875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875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8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7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5"/>
    <w:link w:val="901"/>
    <w:uiPriority w:val="99"/>
    <w:pPr>
      <w:pBdr/>
      <w:spacing/>
      <w:ind/>
    </w:pPr>
  </w:style>
  <w:style w:type="paragraph" w:styleId="903">
    <w:name w:val="Footer"/>
    <w:basedOn w:val="927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5"/>
    <w:link w:val="903"/>
    <w:uiPriority w:val="99"/>
    <w:pPr>
      <w:pBdr/>
      <w:spacing/>
      <w:ind/>
    </w:pPr>
  </w:style>
  <w:style w:type="paragraph" w:styleId="905">
    <w:name w:val="Caption"/>
    <w:basedOn w:val="927"/>
    <w:next w:val="9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7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875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875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Hyperlink"/>
    <w:basedOn w:val="8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3">
    <w:name w:val="FollowedHyperlink"/>
    <w:basedOn w:val="8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5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6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7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18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19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0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1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2">
    <w:name w:val="toc 9"/>
    <w:basedOn w:val="927"/>
    <w:next w:val="927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875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table" w:styleId="92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 w:default="1">
    <w:name w:val="Normal"/>
    <w:pPr>
      <w:pBdr/>
      <w:spacing/>
      <w:ind/>
    </w:pPr>
  </w:style>
  <w:style w:type="paragraph" w:styleId="928">
    <w:name w:val="Heading 1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29">
    <w:name w:val="Heading 2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30">
    <w:name w:val="Heading 3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31">
    <w:name w:val="Heading 4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32">
    <w:name w:val="Heading 5"/>
    <w:basedOn w:val="927"/>
    <w:next w:val="927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33">
    <w:name w:val="Heading 6"/>
    <w:basedOn w:val="927"/>
    <w:next w:val="927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34">
    <w:name w:val="Title"/>
    <w:basedOn w:val="927"/>
    <w:next w:val="927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35">
    <w:name w:val="Subtitle"/>
    <w:basedOn w:val="927"/>
    <w:next w:val="92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2026-07-01T00:36:23Z</dcterms:modified>
</cp:coreProperties>
</file>