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CHANGE MANAGEMENT ADMINISTRATOR • SERVICENOW • ITIL • BUSINESS SYSTEMS ANALYST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Results-driven Change Management and Business Systems professional with extensive experience supporting regulated financial services, enterprise technology, and healthcare organizations.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. Expertise in leveraging Artificial Intelligence (AI) and Generative AI technologies to drive process automation, o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ptimization, and operational efficiency. Track record of leading cross-functional teams, facilitating workshops, and delivering system enhancements on enterprise applications.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7468FDD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/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IT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: </w:t>
      </w:r>
      <w:r>
        <w:rPr>
          <w:rFonts w:ascii="Calibri" w:hAnsi="Calibri" w:eastAsia="Calibri" w:cs="Calibri"/>
          <w:sz w:val="22"/>
          <w:szCs w:val="22"/>
        </w:rPr>
        <w:t xml:space="preserve">Enterprise Change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ServiceNow Change Administration</w:t>
      </w:r>
      <w:r>
        <w:rPr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CAB Facilitation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ITIL Change Enablement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Incident &amp; Problem Management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CMDB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Performance Analytics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Risk Assessment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C</w:t>
      </w:r>
      <w:r>
        <w:rPr>
          <w:rFonts w:ascii="Calibri" w:hAnsi="Calibri" w:eastAsia="Calibri" w:cs="Calibri"/>
          <w:sz w:val="22"/>
          <w:szCs w:val="22"/>
        </w:rPr>
        <w:t xml:space="preserve">hange Calendar Administration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Executive Reporting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Agile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</w:rPr>
        <w:t xml:space="preserve">Process Governance</w:t>
      </w:r>
      <w:r/>
      <w:r/>
      <w:r>
        <w:rPr>
          <w:rFonts w:ascii="Calibri" w:hAnsi="Calibri" w:eastAsia="Calibri" w:cs="Calibri"/>
          <w:sz w:val="22"/>
          <w:szCs w:val="22"/>
        </w:rPr>
      </w:r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AI &amp; Generative AI Technologies</w:t>
      </w:r>
      <w:r>
        <w:rPr>
          <w:rFonts w:ascii="Calibri" w:hAnsi="Calibri" w:eastAsia="Calibri" w:cs="Calibri"/>
          <w:sz w:val="22"/>
          <w:szCs w:val="22"/>
        </w:rPr>
        <w:t xml:space="preserve">: Google Gemini, ChatGPT, Microsoft Copilot, Claude Enterprise, Agentic AI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SharePoint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</w:r>
      <w:r/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Business Analysis &amp; Systems Evaluation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User Story &amp; Epic Generation, Acceptance Criteria Drafting, Backlog Management, Gap &amp; Impact Analysis, As-Is/To-Be Process Mapping, User</w:t>
      </w:r>
      <w:r>
        <w:rPr>
          <w:rFonts w:ascii="Calibri" w:hAnsi="Calibri" w:eastAsia="Calibri" w:cs="Calibri"/>
          <w:sz w:val="22"/>
          <w:szCs w:val="22"/>
        </w:rPr>
        <w:t xml:space="preserve"> Acceptance Testing (UAT).</w:t>
      </w:r>
      <w:r/>
      <w:r>
        <w:rPr>
          <w:rFonts w:ascii="Calibri" w:hAnsi="Calibri" w:eastAsia="Calibri" w:cs="Calibri"/>
          <w:b/>
          <w:bCs/>
          <w:sz w:val="22"/>
          <w:szCs w:val="22"/>
        </w:rPr>
        <w:br/>
        <w:t xml:space="preserve">Methodologies &amp; Leadership</w:t>
      </w:r>
      <w:r>
        <w:rPr>
          <w:rFonts w:ascii="Calibri" w:hAnsi="Calibri" w:eastAsia="Calibri" w:cs="Calibri"/>
          <w:sz w:val="22"/>
          <w:szCs w:val="22"/>
        </w:rPr>
        <w:t xml:space="preserve">: Agile/Scrum, ITIL Framework, Cross-Functional Team Collaboration, Stakeholder Engagement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/</w:t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19B847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Supported enterprise ServiceNow platform operations by partnering with Incident Management, platform engineering, and governance teams to improve operational stability, change quality, and AI-enabled workflow efficiency.</w:t>
      </w:r>
      <w:r>
        <w:rPr>
          <w:rFonts w:ascii="Calibri" w:hAnsi="Calibri" w:eastAsia="Calibri" w:cs="Calibri"/>
          <w:sz w:val="22"/>
          <w:szCs w:val="22"/>
        </w:rPr>
      </w:r>
    </w:p>
    <w:p w14:paraId="70F8C923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Applied AI and Generative AI technologies across the full BSA lifecycle—including problem framing, process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break down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requirements gathering, and acceptance criteria generation—as internal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‘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Customer Zero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’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achieving a 30% improvement in operational 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/>
    </w:p>
    <w:p w14:paraId="4A3E452C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Collaborated closely with business stakeholders, product teams, and technical teams to deliver platform system enhancements and solutions for Audit, Regulatory Change, Policy, and Risk Management modules.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66AA978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Authored and maintained comprehensive business requirements, functional specifications, user stories, and acceptance criteria in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ServiceNow;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led sprint ceremonies and drove backlog prioritization.</w:t>
      </w:r>
      <w:r/>
    </w:p>
    <w:p w14:paraId="2AAEEA4F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Researched and analyzed existing workflows to identify opportunities for automation and optimization, documenting as-is/to-be states and implementing AI-enabled strategies adopted across stakeholder groups.</w:t>
      </w:r>
      <w:r/>
    </w:p>
    <w:p w14:paraId="34B3FDD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Served as primary communication lead for platform issues, conducting root cause analysis and delivering clear, data-driven insights and dashboards to executive and cross-functional audiences.</w:t>
      </w:r>
      <w:r/>
    </w:p>
    <w:p w14:paraId="00000019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Facilitated client and stakeholder workshops to capture functional and non-functional requirements, ensuring delivered solutions aligned with enterprise business objectives.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24F79C0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2A5A52F4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functional specifications, data tracking, and governance standards.</w:t>
      </w:r>
      <w:r/>
    </w:p>
    <w:p w14:paraId="00000022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system service requests by 40% within a three-month period through systematic backlog prioritization, Agile methodologies, and proactive stakeholder engagement.</w:t>
      </w:r>
      <w:r>
        <w:rPr>
          <w:rFonts w:ascii="Calibri" w:hAnsi="Calibri" w:eastAsia="Calibri" w:cs="Calibri"/>
          <w:sz w:val="22"/>
          <w:szCs w:val="22"/>
        </w:rPr>
        <w:br/>
        <w:br/>
        <w:br/>
        <w:br/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BB3B157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Assessed over 1,200 monthly Change Requests across infrastructure, applications, cloud, networking, and security using ITIL Change Enablement best practices.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17510145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Chaired bi-weekly Change Advisory Board (CAB) meetings, facilitating risk assessment, approval decisions, scheduling, and production readiness reviews with infrastructure, application, and executive stakeholders.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2D5E2925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Managed Normal, Standard, Emergency, and Expedited Changes within ServiceNow Change Management, ensuring testing evidence, rollback plans, approvals, and implementation documentation met governance standards.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33699F3A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Administered the enterprise </w:t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Forward Schedule of Changes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, preventing scheduling conflicts through CMDB dependency analysis and coordination across multiple technical teams.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6A531D16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Partnered with Incident and Problem Management teams to investigate failed implementations, perform Root Cause Analysis, and reduce recurring operational risk.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7379BDD8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Improved change governance through reporting and KPI analysis, reducing emergency changes by over 50% while increasing successful standard changes through workflow automation.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04CF148D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Supported audit readiness by maintaining complete change records, approval history, and policy compliance within a highly regulated financial services environment.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</w:p>
    <w:p w14:paraId="6D624401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standard, pre-approved automated changes by 15% through workflow automation initiatives and targeted reporting systems.</w:t>
      </w:r>
      <w:r/>
    </w:p>
    <w:p w14:paraId="08F202FC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Chaired bi-weekly Change Advisory Board (CAB) meetings, facilitating cross-functional alignment and system risk discussions across infrastructure, application, and security teams.</w:t>
      </w:r>
      <w:r/>
    </w:p>
    <w:p w14:paraId="0000002A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implementation records, delivering detailed root cause analysis reports and technical remediation strategies to minimize repeat operational incidents.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1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the ServiceNow CSDM model, successfully aiding the corporate platform migration from Jira Service Desk to ServiceNow.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8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complex As-Is/To-Be HR process flows and authored functional specs to support a validated Workday-to-ServiceNow system integration, serving as the core liaison between business teams and technical engineers.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ITAM and SAM process optimization at an enterprise healthcare scale, tracking system requirements and conducting gap analysis for corporate asset management deployment.</w:t>
      </w:r>
      <w:r/>
    </w:p>
    <w:p w14:paraId="0000003B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Designed server licensing provisioning workflows, utilizing data-driven dashboards to report utilization trends and compliance metrics to management and audit stakeholders.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890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Member of the IT Asset Management (ITAM) and Software Asset Management (SAM) project (Matrix42 Suite)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7"/>
    <w:basedOn w:val="927"/>
    <w:next w:val="927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7"/>
    <w:next w:val="927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7"/>
    <w:next w:val="927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 w:default="1">
    <w:name w:val="Default Paragraph Font"/>
    <w:uiPriority w:val="1"/>
    <w:semiHidden/>
    <w:unhideWhenUsed/>
    <w:pPr>
      <w:pBdr/>
      <w:spacing/>
      <w:ind/>
    </w:pPr>
  </w:style>
  <w:style w:type="numbering" w:styleId="876" w:default="1">
    <w:name w:val="No List"/>
    <w:uiPriority w:val="99"/>
    <w:semiHidden/>
    <w:unhideWhenUsed/>
    <w:pPr>
      <w:pBdr/>
      <w:spacing/>
      <w:ind/>
    </w:pPr>
  </w:style>
  <w:style w:type="character" w:styleId="877">
    <w:name w:val="Heading 1 Char"/>
    <w:basedOn w:val="875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875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5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5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5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5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5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5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5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Title Char"/>
    <w:basedOn w:val="875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Subtitle Char"/>
    <w:basedOn w:val="875"/>
    <w:link w:val="9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7"/>
    <w:next w:val="927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5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0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1">
    <w:name w:val="Intense Emphasis"/>
    <w:basedOn w:val="8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7"/>
    <w:next w:val="927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87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8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8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5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7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5"/>
    <w:link w:val="901"/>
    <w:uiPriority w:val="99"/>
    <w:pPr>
      <w:pBdr/>
      <w:spacing/>
      <w:ind/>
    </w:pPr>
  </w:style>
  <w:style w:type="paragraph" w:styleId="903">
    <w:name w:val="Footer"/>
    <w:basedOn w:val="927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5"/>
    <w:link w:val="903"/>
    <w:uiPriority w:val="99"/>
    <w:pPr>
      <w:pBdr/>
      <w:spacing/>
      <w:ind/>
    </w:pPr>
  </w:style>
  <w:style w:type="paragraph" w:styleId="905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7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5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5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6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7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8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19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0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1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2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5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table" w:styleId="92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 w:default="1">
    <w:name w:val="Normal"/>
    <w:pPr>
      <w:pBdr/>
      <w:spacing/>
      <w:ind/>
    </w:pPr>
  </w:style>
  <w:style w:type="paragraph" w:styleId="928">
    <w:name w:val="Heading 1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29">
    <w:name w:val="Heading 2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30">
    <w:name w:val="Heading 3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31">
    <w:name w:val="Heading 4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32">
    <w:name w:val="Heading 5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33">
    <w:name w:val="Heading 6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34">
    <w:name w:val="Title"/>
    <w:basedOn w:val="927"/>
    <w:next w:val="92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5">
    <w:name w:val="Subtitle"/>
    <w:basedOn w:val="927"/>
    <w:next w:val="92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2026-06-30T22:20:51Z</dcterms:modified>
</cp:coreProperties>
</file>